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CA0E19">
      <w:pPr>
        <w:spacing w:line="440" w:lineRule="atLeast"/>
        <w:jc w:val="both"/>
        <w:rPr>
          <w:rFonts w:hint="eastAsia" w:ascii="仿宋_GB2312" w:hAnsi="仿宋_GB2312" w:eastAsia="仿宋_GB2312" w:cs="仿宋_GB2312"/>
          <w:b/>
          <w:bCs/>
          <w:sz w:val="44"/>
          <w:szCs w:val="44"/>
          <w:highlight w:val="none"/>
          <w:lang w:val="en-US" w:eastAsia="zh-CN"/>
        </w:rPr>
      </w:pPr>
      <w:r>
        <w:rPr>
          <w:rFonts w:hint="eastAsia" w:ascii="宋体" w:hAnsi="宋体" w:eastAsia="宋体" w:cs="宋体"/>
          <w:sz w:val="28"/>
          <w:szCs w:val="28"/>
          <w:lang w:val="en-US" w:eastAsia="zh-CN"/>
        </w:rPr>
        <w:t>附件1</w:t>
      </w:r>
    </w:p>
    <w:p w14:paraId="3FA78D4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44"/>
          <w:szCs w:val="44"/>
          <w:highlight w:val="none"/>
          <w:lang w:eastAsia="zh-CN"/>
        </w:rPr>
      </w:pPr>
      <w:r>
        <w:rPr>
          <w:rFonts w:hint="eastAsia" w:ascii="仿宋_GB2312" w:hAnsi="仿宋_GB2312" w:eastAsia="仿宋_GB2312" w:cs="仿宋_GB2312"/>
          <w:b/>
          <w:bCs/>
          <w:sz w:val="44"/>
          <w:szCs w:val="44"/>
          <w:highlight w:val="none"/>
          <w:lang w:val="en-US" w:eastAsia="zh-CN"/>
        </w:rPr>
        <w:t>有机废物生物转化利用项目4栋建筑物可靠性鉴定及沉降监测服务</w:t>
      </w:r>
      <w:r>
        <w:rPr>
          <w:rFonts w:hint="eastAsia" w:ascii="仿宋_GB2312" w:hAnsi="仿宋_GB2312" w:eastAsia="仿宋_GB2312" w:cs="仿宋_GB2312"/>
          <w:b/>
          <w:bCs/>
          <w:sz w:val="44"/>
          <w:szCs w:val="44"/>
          <w:highlight w:val="none"/>
        </w:rPr>
        <w:t>采购需求文件</w:t>
      </w:r>
    </w:p>
    <w:p w14:paraId="59390446">
      <w:pPr>
        <w:pStyle w:val="4"/>
        <w:rPr>
          <w:rFonts w:hint="eastAsia"/>
          <w:highlight w:val="none"/>
        </w:rPr>
      </w:pPr>
    </w:p>
    <w:p w14:paraId="59551CA9">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项目概况</w:t>
      </w:r>
    </w:p>
    <w:p w14:paraId="726BABA8">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420" w:firstLine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采购项目名称：有机废物生物转化利用项目4栋建筑物可靠性鉴定及沉降监测服务</w:t>
      </w:r>
    </w:p>
    <w:p w14:paraId="49D56786">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42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采购预算：人民币8.22万元（含税）</w:t>
      </w:r>
    </w:p>
    <w:p w14:paraId="2857D638">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采购背景</w:t>
      </w:r>
    </w:p>
    <w:p w14:paraId="3AC0A655">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en-US" w:bidi="ar-SA"/>
        </w:rPr>
      </w:pPr>
      <w:r>
        <w:rPr>
          <w:rFonts w:hint="eastAsia" w:ascii="仿宋_GB2312" w:hAnsi="仿宋_GB2312" w:eastAsia="仿宋_GB2312" w:cs="仿宋_GB2312"/>
          <w:color w:val="auto"/>
          <w:sz w:val="32"/>
          <w:szCs w:val="32"/>
          <w:highlight w:val="none"/>
        </w:rPr>
        <w:t>目前佛山市三水区有机废物生物转化利用项目已进入建设收尾阶段，</w:t>
      </w:r>
      <w:r>
        <w:rPr>
          <w:rFonts w:hint="eastAsia" w:ascii="仿宋_GB2312" w:hAnsi="仿宋_GB2312" w:eastAsia="仿宋_GB2312" w:cs="仿宋_GB2312"/>
          <w:b w:val="0"/>
          <w:bCs w:val="0"/>
          <w:color w:val="auto"/>
          <w:sz w:val="32"/>
          <w:szCs w:val="32"/>
          <w:highlight w:val="none"/>
          <w:lang w:val="en-US" w:eastAsia="en-US" w:bidi="ar-SA"/>
        </w:rPr>
        <w:t>本次服务针对项目厂区内4栋新建建筑物开展，包含养殖车间、车间配套办公用房、修车库与杂物间、电房，总检测鉴定面积5940.2㎡。其中养殖车间、配套办公用房、修车库与杂物间为轻钢门式钢架结构，电房为钢筋混凝土框架结构，所有建筑均为1层、钢柱下独立基础，目前尚未投入使用。因厂区地基存在局部不均匀沉降、基础下沉情况且已开展基础加固处理，需对建筑物开展专项可靠性鉴定及沉降监测工作。</w:t>
      </w:r>
    </w:p>
    <w:p w14:paraId="4B23B958">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采购范围与服务内容</w:t>
      </w:r>
    </w:p>
    <w:p w14:paraId="3CAD22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次采购服务范围为项目厂区内4栋建筑物（养殖车间、车间配套办公用房、修车库与杂物间、电房），主要包含建筑物可靠性及抗震性鉴定、专项检测、建筑物倾斜变形检测、高空作业检测、长期沉降观测五大核心工作，具体服务内容如下：（详细技术参数、规格配置见附件1-1：《有机废物生物转化利用项目4栋建筑物可靠性鉴定及沉降监测服务技术参数要求》）</w:t>
      </w:r>
    </w:p>
    <w:p w14:paraId="0C06370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（一）建筑物可靠性及抗震性鉴定</w:t>
      </w:r>
    </w:p>
    <w:p w14:paraId="656910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针对4栋建筑物整体开展全方位结构检测、验算及评级鉴定，具体工作内容：</w:t>
      </w:r>
    </w:p>
    <w:p w14:paraId="21F410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 地面基础检查：核查4栋建筑物室内外地面、上部结构构件是否存在基础不均匀沉降引发的倾斜、变形、承载缺陷，结合位移及沉降观测数据综合判定基础运行状态。</w:t>
      </w:r>
    </w:p>
    <w:p w14:paraId="7B0AFE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 钢构件检测：对轻钢结构建筑开展截面尺寸检测，核查螺栓连接、焊接节点施工质量，检查柱间支撑、屋盖支撑等结构布置完整性；采用里氏硬度计抽检主要受力构件钢材强度，检测钢构件涂层厚度及防腐状态。</w:t>
      </w:r>
    </w:p>
    <w:p w14:paraId="13F190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 混凝土构件检测：针对电房框架结构，检测构件截面尺寸、内部钢筋配置情况，排查构件裂缝、破损、缺陷损伤，核查建筑抗震构造措施合规性。</w:t>
      </w:r>
    </w:p>
    <w:p w14:paraId="163152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 围护结构检测：全面检查屋面、外墙、门窗、雨棚、栏杆等围护及附属构件的完整性、稳定性，排查渗漏、开裂、松动、脱落等质量问题。</w:t>
      </w:r>
    </w:p>
    <w:p w14:paraId="149A5B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 综合鉴定评级：对照设计图纸核对各建筑结构形式、构件参数符合性；开展主体结构安全承载力、抗震承载力专项验算；分别对4栋建筑的安全性、使用性、可靠性进行评级，评定建筑抗震性能；完成报告编制、核对、多级审核，出具纸质及电子版鉴定报告。</w:t>
      </w:r>
    </w:p>
    <w:p w14:paraId="6F96C09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（二）专项检测项目</w:t>
      </w:r>
    </w:p>
    <w:p w14:paraId="657BAF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 钻芯法混凝土抗压强度检测：针对电房框架结构，完成探测定位、现场芯样钻取、芯样加工、试样送检全流程工作，共计4个检测点位。</w:t>
      </w:r>
    </w:p>
    <w:p w14:paraId="7DC80C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 建筑物倾斜变形检测：在4栋建筑物布设35个检测点位，单栋建筑检测点不少于8个，养殖车间额外增设3个点位，全面检测建筑物整体倾斜、变形情况。</w:t>
      </w:r>
    </w:p>
    <w:p w14:paraId="449F22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 高空作业检测：采用高空作业车开展高空钢构件钢材强度、涂层厚度、螺栓及焊接节点检测作业，保障高空检测点位全覆盖、数据精准性。</w:t>
      </w:r>
    </w:p>
    <w:p w14:paraId="7F2584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（三）建筑物沉降观测</w:t>
      </w:r>
    </w:p>
    <w:p w14:paraId="6974D7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对4栋建筑物开展为期6个月的沉降监测，暂定9次观测，具体内容：</w:t>
      </w:r>
    </w:p>
    <w:p w14:paraId="24AE30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 点位布设：布设50个沉降观测点、3个基准点，满足全程观测精度要求。</w:t>
      </w:r>
    </w:p>
    <w:p w14:paraId="3BB7B0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 观测频次：第1-3个月每14天观测1次，第4-6个月每月观测1次，累计观测9次。</w:t>
      </w:r>
    </w:p>
    <w:p w14:paraId="5ABC89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 成果输出：观测周期结束后，整理全部监测数据，分析建筑物沉降变化趋势、不均匀沉降差值，出具完整沉降观测成果报告。</w:t>
      </w:r>
    </w:p>
    <w:p w14:paraId="6304F911">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服务时限与知识产权</w:t>
      </w:r>
    </w:p>
    <w:p w14:paraId="2F5BC4EF">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（一）服务时限</w:t>
      </w:r>
    </w:p>
    <w:p w14:paraId="6CE83994">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960" w:firstLineChars="3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 整体服务周期：自进场开工起总工期50天，沉降观测周期6个月。</w:t>
      </w:r>
    </w:p>
    <w:p w14:paraId="310DAE03">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960" w:firstLineChars="3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 现场检测：进场后7天内完成全部建筑物现场结构检测、点位采样工作。</w:t>
      </w:r>
    </w:p>
    <w:p w14:paraId="07416A76">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960" w:firstLineChars="3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 试样检测与数据处理：混凝土芯样加工3天、强度检测7天，现场数据整理、结构承载力复核15天。</w:t>
      </w:r>
    </w:p>
    <w:p w14:paraId="7BB806F8">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960" w:firstLineChars="3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 报告交付：沉降观测周期结束、获取最终监测数据后20天内，完成报告编制、校核审定，交付全套正式鉴定及监测成果文件。</w:t>
      </w:r>
    </w:p>
    <w:p w14:paraId="1ED86968">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960" w:firstLineChars="3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（二）知识产权</w:t>
      </w:r>
    </w:p>
    <w:p w14:paraId="5E22A068">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960" w:firstLineChars="3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本项目所有检测数据、分析成果、鉴定报告、监测报告等全部成果资料的知识产权归采购方所有，成交供应商不得擅自留存、转载、用于其他项目或对外传播。</w:t>
      </w:r>
    </w:p>
    <w:p w14:paraId="64157E09">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成果交付要求</w:t>
      </w:r>
    </w:p>
    <w:p w14:paraId="52AFFBA9">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成交供应商需按要求提交全套成果资料，所有纸质文件均需加盖单位公章，同时提供对应电子版文件，具体交付成果如下：</w:t>
      </w:r>
    </w:p>
    <w:tbl>
      <w:tblPr>
        <w:tblStyle w:val="15"/>
        <w:tblW w:w="83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832"/>
        <w:gridCol w:w="3173"/>
        <w:gridCol w:w="4304"/>
      </w:tblGrid>
      <w:tr w14:paraId="71A98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0" w:type="auto"/>
            <w:shd w:val="clear" w:color="auto" w:fill="auto"/>
            <w:noWrap w:val="0"/>
            <w:tcMar>
              <w:top w:w="150" w:type="dxa"/>
              <w:left w:w="-1" w:type="dxa"/>
              <w:bottom w:w="150" w:type="dxa"/>
              <w:right w:w="240" w:type="dxa"/>
            </w:tcMar>
            <w:vAlign w:val="center"/>
          </w:tcPr>
          <w:p w14:paraId="54AB656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auto"/>
              <w:rPr>
                <w:rFonts w:hint="eastAsia" w:ascii="新宋体" w:hAnsi="新宋体" w:eastAsia="新宋体" w:cs="新宋体"/>
                <w:b/>
                <w:bCs/>
                <w:sz w:val="28"/>
                <w:szCs w:val="28"/>
              </w:rPr>
            </w:pPr>
            <w:r>
              <w:rPr>
                <w:rFonts w:hint="eastAsia" w:ascii="新宋体" w:hAnsi="新宋体" w:eastAsia="新宋体" w:cs="新宋体"/>
                <w:b/>
                <w:bCs/>
                <w:kern w:val="0"/>
                <w:sz w:val="28"/>
                <w:szCs w:val="28"/>
                <w:lang w:val="en-US" w:eastAsia="zh-CN" w:bidi="ar"/>
              </w:rPr>
              <w:t>序号</w:t>
            </w:r>
          </w:p>
        </w:tc>
        <w:tc>
          <w:tcPr>
            <w:tcW w:w="3173" w:type="dxa"/>
            <w:shd w:val="clear" w:color="auto" w:fill="auto"/>
            <w:noWrap w:val="0"/>
            <w:tcMar>
              <w:top w:w="150" w:type="dxa"/>
              <w:left w:w="240" w:type="dxa"/>
              <w:bottom w:w="150" w:type="dxa"/>
              <w:right w:w="240" w:type="dxa"/>
            </w:tcMar>
            <w:vAlign w:val="center"/>
          </w:tcPr>
          <w:p w14:paraId="759D96D3">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auto"/>
              <w:rPr>
                <w:rFonts w:hint="eastAsia" w:ascii="新宋体" w:hAnsi="新宋体" w:eastAsia="新宋体" w:cs="新宋体"/>
                <w:b/>
                <w:bCs/>
                <w:sz w:val="28"/>
                <w:szCs w:val="28"/>
              </w:rPr>
            </w:pPr>
            <w:r>
              <w:rPr>
                <w:rFonts w:hint="eastAsia" w:ascii="新宋体" w:hAnsi="新宋体" w:eastAsia="新宋体" w:cs="新宋体"/>
                <w:b/>
                <w:bCs/>
                <w:kern w:val="0"/>
                <w:sz w:val="28"/>
                <w:szCs w:val="28"/>
                <w:lang w:val="en-US" w:eastAsia="zh-CN" w:bidi="ar"/>
              </w:rPr>
              <w:t>成果名称</w:t>
            </w:r>
          </w:p>
        </w:tc>
        <w:tc>
          <w:tcPr>
            <w:tcW w:w="4304" w:type="dxa"/>
            <w:shd w:val="clear" w:color="auto" w:fill="auto"/>
            <w:noWrap w:val="0"/>
            <w:tcMar>
              <w:top w:w="150" w:type="dxa"/>
              <w:left w:w="240" w:type="dxa"/>
              <w:bottom w:w="150" w:type="dxa"/>
              <w:right w:w="240" w:type="dxa"/>
            </w:tcMar>
            <w:vAlign w:val="center"/>
          </w:tcPr>
          <w:p w14:paraId="18B8FA6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auto"/>
              <w:rPr>
                <w:rFonts w:hint="eastAsia" w:ascii="新宋体" w:hAnsi="新宋体" w:eastAsia="新宋体" w:cs="新宋体"/>
                <w:b/>
                <w:bCs/>
                <w:sz w:val="28"/>
                <w:szCs w:val="28"/>
              </w:rPr>
            </w:pPr>
            <w:r>
              <w:rPr>
                <w:rFonts w:hint="eastAsia" w:ascii="新宋体" w:hAnsi="新宋体" w:eastAsia="新宋体" w:cs="新宋体"/>
                <w:b/>
                <w:bCs/>
                <w:kern w:val="0"/>
                <w:sz w:val="28"/>
                <w:szCs w:val="28"/>
                <w:lang w:val="en-US" w:eastAsia="zh-CN" w:bidi="ar"/>
              </w:rPr>
              <w:t>形式及数量</w:t>
            </w:r>
          </w:p>
        </w:tc>
      </w:tr>
      <w:tr w14:paraId="76357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0" w:type="auto"/>
            <w:shd w:val="clear" w:color="auto" w:fill="auto"/>
            <w:noWrap w:val="0"/>
            <w:tcMar>
              <w:top w:w="150" w:type="dxa"/>
              <w:left w:w="-1" w:type="dxa"/>
              <w:bottom w:w="150" w:type="dxa"/>
              <w:right w:w="240" w:type="dxa"/>
            </w:tcMar>
            <w:vAlign w:val="center"/>
          </w:tcPr>
          <w:p w14:paraId="3F74D02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auto"/>
              <w:rPr>
                <w:rFonts w:hint="eastAsia" w:ascii="新宋体" w:hAnsi="新宋体" w:eastAsia="新宋体" w:cs="新宋体"/>
                <w:sz w:val="28"/>
                <w:szCs w:val="28"/>
              </w:rPr>
            </w:pPr>
            <w:r>
              <w:rPr>
                <w:rFonts w:hint="eastAsia" w:ascii="新宋体" w:hAnsi="新宋体" w:eastAsia="新宋体" w:cs="新宋体"/>
                <w:kern w:val="0"/>
                <w:sz w:val="28"/>
                <w:szCs w:val="28"/>
                <w:lang w:val="en-US" w:eastAsia="zh-CN" w:bidi="ar"/>
              </w:rPr>
              <w:t>1</w:t>
            </w:r>
          </w:p>
        </w:tc>
        <w:tc>
          <w:tcPr>
            <w:tcW w:w="3173" w:type="dxa"/>
            <w:shd w:val="clear" w:color="auto" w:fill="auto"/>
            <w:noWrap w:val="0"/>
            <w:tcMar>
              <w:top w:w="150" w:type="dxa"/>
              <w:left w:w="240" w:type="dxa"/>
              <w:bottom w:w="150" w:type="dxa"/>
              <w:right w:w="240" w:type="dxa"/>
            </w:tcMar>
            <w:vAlign w:val="top"/>
          </w:tcPr>
          <w:p w14:paraId="1B750946">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t>4栋建筑物可靠性及抗震性鉴定报告</w:t>
            </w:r>
          </w:p>
        </w:tc>
        <w:tc>
          <w:tcPr>
            <w:tcW w:w="4304" w:type="dxa"/>
            <w:shd w:val="clear" w:color="auto" w:fill="auto"/>
            <w:noWrap w:val="0"/>
            <w:tcMar>
              <w:top w:w="150" w:type="dxa"/>
              <w:left w:w="240" w:type="dxa"/>
              <w:bottom w:w="150" w:type="dxa"/>
              <w:right w:w="-1" w:type="dxa"/>
            </w:tcMar>
            <w:vAlign w:val="top"/>
          </w:tcPr>
          <w:p w14:paraId="249D60A9">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t>纸质版2份、电子版1份（加盖公章，含全部检测数据、验算结果、评级结论、整改建议）</w:t>
            </w:r>
          </w:p>
        </w:tc>
      </w:tr>
      <w:tr w14:paraId="604E1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0" w:type="auto"/>
            <w:shd w:val="clear" w:color="auto" w:fill="auto"/>
            <w:noWrap w:val="0"/>
            <w:tcMar>
              <w:top w:w="150" w:type="dxa"/>
              <w:left w:w="-1" w:type="dxa"/>
              <w:bottom w:w="150" w:type="dxa"/>
              <w:right w:w="240" w:type="dxa"/>
            </w:tcMar>
            <w:vAlign w:val="center"/>
          </w:tcPr>
          <w:p w14:paraId="7212C2C6">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auto"/>
              <w:rPr>
                <w:rFonts w:hint="eastAsia" w:ascii="新宋体" w:hAnsi="新宋体" w:eastAsia="新宋体" w:cs="新宋体"/>
                <w:sz w:val="28"/>
                <w:szCs w:val="28"/>
              </w:rPr>
            </w:pPr>
            <w:r>
              <w:rPr>
                <w:rFonts w:hint="eastAsia" w:ascii="新宋体" w:hAnsi="新宋体" w:eastAsia="新宋体" w:cs="新宋体"/>
                <w:kern w:val="0"/>
                <w:sz w:val="28"/>
                <w:szCs w:val="28"/>
                <w:lang w:val="en-US" w:eastAsia="zh-CN" w:bidi="ar"/>
              </w:rPr>
              <w:t>2</w:t>
            </w:r>
          </w:p>
        </w:tc>
        <w:tc>
          <w:tcPr>
            <w:tcW w:w="3173" w:type="dxa"/>
            <w:shd w:val="clear" w:color="auto" w:fill="auto"/>
            <w:noWrap w:val="0"/>
            <w:tcMar>
              <w:top w:w="150" w:type="dxa"/>
              <w:left w:w="240" w:type="dxa"/>
              <w:bottom w:w="150" w:type="dxa"/>
              <w:right w:w="240" w:type="dxa"/>
            </w:tcMar>
            <w:vAlign w:val="top"/>
          </w:tcPr>
          <w:p w14:paraId="7CECE7A2">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t>混凝土抗压强度钻芯检测报告</w:t>
            </w:r>
          </w:p>
        </w:tc>
        <w:tc>
          <w:tcPr>
            <w:tcW w:w="4304" w:type="dxa"/>
            <w:shd w:val="clear" w:color="auto" w:fill="auto"/>
            <w:noWrap w:val="0"/>
            <w:tcMar>
              <w:top w:w="150" w:type="dxa"/>
              <w:left w:w="240" w:type="dxa"/>
              <w:bottom w:w="150" w:type="dxa"/>
              <w:right w:w="-1" w:type="dxa"/>
            </w:tcMar>
            <w:vAlign w:val="top"/>
          </w:tcPr>
          <w:p w14:paraId="620EC93A">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t>纸质版2份、电子版1份（加盖资质公章，含芯样参数、检测数据、强度结论）</w:t>
            </w:r>
          </w:p>
        </w:tc>
      </w:tr>
      <w:tr w14:paraId="75AC5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0" w:type="auto"/>
            <w:shd w:val="clear" w:color="auto" w:fill="auto"/>
            <w:noWrap w:val="0"/>
            <w:tcMar>
              <w:top w:w="150" w:type="dxa"/>
              <w:left w:w="-1" w:type="dxa"/>
              <w:bottom w:w="150" w:type="dxa"/>
              <w:right w:w="240" w:type="dxa"/>
            </w:tcMar>
            <w:vAlign w:val="center"/>
          </w:tcPr>
          <w:p w14:paraId="7F6FC62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auto"/>
              <w:rPr>
                <w:rFonts w:hint="eastAsia" w:ascii="新宋体" w:hAnsi="新宋体" w:eastAsia="新宋体" w:cs="新宋体"/>
                <w:sz w:val="28"/>
                <w:szCs w:val="28"/>
              </w:rPr>
            </w:pPr>
            <w:r>
              <w:rPr>
                <w:rFonts w:hint="eastAsia" w:ascii="新宋体" w:hAnsi="新宋体" w:eastAsia="新宋体" w:cs="新宋体"/>
                <w:kern w:val="0"/>
                <w:sz w:val="28"/>
                <w:szCs w:val="28"/>
                <w:lang w:val="en-US" w:eastAsia="zh-CN" w:bidi="ar"/>
              </w:rPr>
              <w:t>3</w:t>
            </w:r>
          </w:p>
        </w:tc>
        <w:tc>
          <w:tcPr>
            <w:tcW w:w="3173" w:type="dxa"/>
            <w:shd w:val="clear" w:color="auto" w:fill="auto"/>
            <w:noWrap w:val="0"/>
            <w:tcMar>
              <w:top w:w="150" w:type="dxa"/>
              <w:left w:w="240" w:type="dxa"/>
              <w:bottom w:w="150" w:type="dxa"/>
              <w:right w:w="240" w:type="dxa"/>
            </w:tcMar>
            <w:vAlign w:val="top"/>
          </w:tcPr>
          <w:p w14:paraId="29E6F0B0">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t>建筑物倾斜变形检测成果资料</w:t>
            </w:r>
          </w:p>
        </w:tc>
        <w:tc>
          <w:tcPr>
            <w:tcW w:w="4304" w:type="dxa"/>
            <w:shd w:val="clear" w:color="auto" w:fill="auto"/>
            <w:noWrap w:val="0"/>
            <w:tcMar>
              <w:top w:w="150" w:type="dxa"/>
              <w:left w:w="240" w:type="dxa"/>
              <w:bottom w:w="150" w:type="dxa"/>
              <w:right w:w="-1" w:type="dxa"/>
            </w:tcMar>
            <w:vAlign w:val="top"/>
          </w:tcPr>
          <w:p w14:paraId="13B4AD40">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t>纸质版2份、电子版1份（加盖公章，含点位布设、检测数据、变形分析结论）</w:t>
            </w:r>
          </w:p>
        </w:tc>
      </w:tr>
      <w:tr w14:paraId="7DD1E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832" w:type="dxa"/>
            <w:shd w:val="clear" w:color="auto" w:fill="auto"/>
            <w:noWrap w:val="0"/>
            <w:tcMar>
              <w:top w:w="150" w:type="dxa"/>
              <w:left w:w="-1" w:type="dxa"/>
              <w:bottom w:w="150" w:type="dxa"/>
              <w:right w:w="240" w:type="dxa"/>
            </w:tcMar>
            <w:vAlign w:val="center"/>
          </w:tcPr>
          <w:p w14:paraId="117B6AC6">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auto"/>
              <w:rPr>
                <w:rFonts w:hint="eastAsia" w:ascii="新宋体" w:hAnsi="新宋体" w:eastAsia="新宋体" w:cs="新宋体"/>
                <w:sz w:val="28"/>
                <w:szCs w:val="28"/>
              </w:rPr>
            </w:pPr>
            <w:r>
              <w:rPr>
                <w:rFonts w:hint="eastAsia" w:ascii="新宋体" w:hAnsi="新宋体" w:eastAsia="新宋体" w:cs="新宋体"/>
                <w:kern w:val="0"/>
                <w:sz w:val="28"/>
                <w:szCs w:val="28"/>
                <w:lang w:val="en-US" w:eastAsia="zh-CN" w:bidi="ar"/>
              </w:rPr>
              <w:t>4</w:t>
            </w:r>
          </w:p>
        </w:tc>
        <w:tc>
          <w:tcPr>
            <w:tcW w:w="3173" w:type="dxa"/>
            <w:shd w:val="clear" w:color="auto" w:fill="auto"/>
            <w:noWrap w:val="0"/>
            <w:tcMar>
              <w:top w:w="150" w:type="dxa"/>
              <w:left w:w="240" w:type="dxa"/>
              <w:bottom w:w="150" w:type="dxa"/>
              <w:right w:w="240" w:type="dxa"/>
            </w:tcMar>
            <w:vAlign w:val="top"/>
          </w:tcPr>
          <w:p w14:paraId="7AA955CD">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t>4栋建筑物沉降观测成果报告</w:t>
            </w:r>
          </w:p>
        </w:tc>
        <w:tc>
          <w:tcPr>
            <w:tcW w:w="4304" w:type="dxa"/>
            <w:shd w:val="clear" w:color="auto" w:fill="auto"/>
            <w:noWrap w:val="0"/>
            <w:tcMar>
              <w:top w:w="150" w:type="dxa"/>
              <w:left w:w="240" w:type="dxa"/>
              <w:bottom w:w="150" w:type="dxa"/>
              <w:right w:w="-1" w:type="dxa"/>
            </w:tcMar>
            <w:vAlign w:val="top"/>
          </w:tcPr>
          <w:p w14:paraId="1B9D5FF0">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t>纸质版2份、电子版1份（加盖公章，含全程监测数据、沉降趋势分析、稳定性判定结论）</w:t>
            </w:r>
          </w:p>
        </w:tc>
      </w:tr>
    </w:tbl>
    <w:p w14:paraId="6387AD7D">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最高限价</w:t>
      </w:r>
    </w:p>
    <w:p w14:paraId="714F1070">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rPr>
      </w:pPr>
      <w:r>
        <w:rPr>
          <w:rFonts w:hint="eastAsia" w:ascii="仿宋_GB2312" w:hAnsi="仿宋_GB2312" w:eastAsia="仿宋_GB2312" w:cs="仿宋_GB2312"/>
          <w:b w:val="0"/>
          <w:bCs w:val="0"/>
          <w:sz w:val="32"/>
          <w:szCs w:val="32"/>
          <w:lang w:val="en-US" w:eastAsia="zh-CN"/>
        </w:rPr>
        <w:t>本项目最高限价为人民币</w:t>
      </w:r>
      <w:r>
        <w:rPr>
          <w:rFonts w:hint="eastAsia" w:ascii="仿宋_GB2312" w:hAnsi="仿宋_GB2312" w:eastAsia="仿宋_GB2312" w:cs="仿宋_GB2312"/>
          <w:b w:val="0"/>
          <w:bCs w:val="0"/>
          <w:sz w:val="32"/>
          <w:szCs w:val="32"/>
          <w:highlight w:val="none"/>
          <w:lang w:val="en-US" w:eastAsia="zh-CN"/>
        </w:rPr>
        <w:t>8.22万元（含税）</w:t>
      </w:r>
      <w:r>
        <w:rPr>
          <w:rFonts w:hint="eastAsia" w:ascii="仿宋_GB2312" w:hAnsi="仿宋_GB2312" w:eastAsia="仿宋_GB2312" w:cs="仿宋_GB2312"/>
          <w:b w:val="0"/>
          <w:bCs w:val="0"/>
          <w:sz w:val="32"/>
          <w:szCs w:val="32"/>
          <w:lang w:val="en-US" w:eastAsia="zh-CN"/>
        </w:rPr>
        <w:t>，该价格为全费用固定总价包干，包含但不限于：人员服务费、设备租赁费、高空作业费、现场检测费、试样送检费、资料收集整理费、报告编制校核费、打印装订费、税费、售后答疑、资料归档、配合审查核查、现场整改修复（芯孔封堵、障碍物拆除恢复）等全部成本。采购人无需另行支付其他任何费用。</w:t>
      </w:r>
    </w:p>
    <w:p w14:paraId="48B03FD7">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付款方式</w:t>
      </w:r>
    </w:p>
    <w:p w14:paraId="00F95FF0">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42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本项目服务全部完成、成果资料经采购人验收合格后，成交供应商向采购人提供全额合法有效增值税专用发票，采购人审核无误后一次性支付合同总价100%。</w:t>
      </w:r>
    </w:p>
    <w:p w14:paraId="4950D4C0">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42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供应商收款前须向采购人提供付款金额对应的合法有效增值税专用发票。</w:t>
      </w:r>
    </w:p>
    <w:p w14:paraId="6A60A0DF">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供应商资格要求</w:t>
      </w:r>
    </w:p>
    <w:p w14:paraId="5049D7D2">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参与本项目的意向服务单位须同时满足以下全部条件，采购人有权核验所有资质证明文件原件：</w:t>
      </w:r>
    </w:p>
    <w:p w14:paraId="42A3F7B9">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2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主体资格：具有独立法人资格，持有合法有效的营业执照，经营范围</w:t>
      </w:r>
      <w:r>
        <w:rPr>
          <w:rFonts w:hint="eastAsia" w:ascii="仿宋_GB2312" w:hAnsi="仿宋_GB2312" w:eastAsia="仿宋_GB2312" w:cs="仿宋_GB2312"/>
          <w:sz w:val="32"/>
          <w:szCs w:val="32"/>
        </w:rPr>
        <w:t>完全覆盖本次采购服务类别</w:t>
      </w:r>
      <w:r>
        <w:rPr>
          <w:rFonts w:hint="eastAsia" w:ascii="仿宋_GB2312" w:hAnsi="仿宋_GB2312" w:eastAsia="仿宋_GB2312" w:cs="仿宋_GB2312"/>
          <w:sz w:val="32"/>
          <w:szCs w:val="32"/>
          <w:lang w:val="en-US" w:eastAsia="zh-CN"/>
        </w:rPr>
        <w:t>。</w:t>
      </w:r>
    </w:p>
    <w:p w14:paraId="36E87A6B">
      <w:pPr>
        <w:keepNext w:val="0"/>
        <w:keepLines w:val="0"/>
        <w:pageBreakBefore w:val="0"/>
        <w:widowControl w:val="0"/>
        <w:numPr>
          <w:ilvl w:val="0"/>
          <w:numId w:val="4"/>
        </w:numPr>
        <w:kinsoku/>
        <w:wordWrap w:val="0"/>
        <w:overflowPunct/>
        <w:topLinePunct w:val="0"/>
        <w:autoSpaceDE/>
        <w:autoSpaceDN/>
        <w:bidi w:val="0"/>
        <w:adjustRightInd/>
        <w:snapToGrid/>
        <w:spacing w:line="560" w:lineRule="exact"/>
        <w:ind w:left="0" w:leftChars="0" w:firstLine="42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信用记录：近3年经营活动中无重大违法失信记录，未被列入“信用中国”网站（www.creditchina.gov.cn）“记录失信被执行人、重大税收违法失信主体、政府采购严重违法失信行为”名单，未处于中国政府采购网（www.ccgp.gov.cn）“政府采购严重违法失信行为信息记录”中的禁止参加政府采购活动期间。供应商须提供《承诺函》及上述网站查询截图。</w:t>
      </w:r>
    </w:p>
    <w:p w14:paraId="768A2A1D">
      <w:pPr>
        <w:pStyle w:val="8"/>
        <w:bidi w:val="0"/>
        <w:ind w:left="0" w:leftChars="0" w:firstLine="308" w:firstLineChars="100"/>
        <w:rPr>
          <w:rFonts w:hint="eastAsia"/>
          <w:highlight w:val="none"/>
          <w:lang w:val="en-US" w:eastAsia="zh-CN"/>
        </w:rPr>
      </w:pPr>
      <w:r>
        <w:rPr>
          <w:rFonts w:hint="eastAsia"/>
          <w:highlight w:val="none"/>
          <w:lang w:val="en-US" w:eastAsia="zh-CN"/>
        </w:rPr>
        <w:t>（三）在佛山市住建部门公布的2026年佛山市房屋安全鉴定单位名录中，具备佛山市房屋安全鉴定单位备案证书。</w:t>
      </w:r>
    </w:p>
    <w:p w14:paraId="57F27C4E">
      <w:pPr>
        <w:pStyle w:val="8"/>
        <w:bidi w:val="0"/>
        <w:ind w:left="0" w:leftChars="0" w:firstLine="308" w:firstLineChars="100"/>
        <w:rPr>
          <w:rFonts w:hint="eastAsia"/>
          <w:highlight w:val="none"/>
          <w:lang w:val="en-US" w:eastAsia="zh-CN"/>
        </w:rPr>
      </w:pPr>
      <w:r>
        <w:rPr>
          <w:rFonts w:hint="eastAsia"/>
          <w:highlight w:val="none"/>
          <w:lang w:val="en-US" w:eastAsia="zh-CN"/>
        </w:rPr>
        <w:t>（四）具有建设行政主管部门颁发的建设工程质量检测机构资质证书（专项资质应包括“主体结构及装饰装修”）或质量技术监督部门颁发的《检验检测机构资质认定证书》（具有CMA资质认定标志）（检验检测机构资质认定证书附表的认证范围覆盖本次采购主要的检测项目），且证书须在有效期内。</w:t>
      </w:r>
    </w:p>
    <w:p w14:paraId="66B92E1E">
      <w:pPr>
        <w:pStyle w:val="8"/>
        <w:bidi w:val="0"/>
        <w:ind w:left="0" w:leftChars="0" w:firstLine="308" w:firstLineChars="100"/>
        <w:rPr>
          <w:rFonts w:hint="eastAsia"/>
          <w:lang w:val="en-US" w:eastAsia="zh-CN"/>
        </w:rPr>
      </w:pPr>
      <w:r>
        <w:rPr>
          <w:rFonts w:hint="eastAsia"/>
          <w:lang w:val="en-US" w:eastAsia="zh-CN"/>
        </w:rPr>
        <w:t>（五）本项目不接受联合体响应，不允许转包或违法分包。</w:t>
      </w:r>
    </w:p>
    <w:p w14:paraId="1D474C77">
      <w:pPr>
        <w:spacing w:line="440" w:lineRule="atLeast"/>
        <w:jc w:val="center"/>
        <w:rPr>
          <w:rFonts w:hint="eastAsia"/>
          <w:lang w:val="en-US" w:eastAsia="zh-CN"/>
        </w:rPr>
      </w:pPr>
      <w:r>
        <w:rPr>
          <w:rFonts w:hint="eastAsia"/>
          <w:lang w:val="en-US" w:eastAsia="zh-CN"/>
        </w:rPr>
        <w:br w:type="page"/>
      </w:r>
    </w:p>
    <w:p w14:paraId="7D794A04">
      <w:pPr>
        <w:spacing w:line="440" w:lineRule="atLeast"/>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附件1-1</w:t>
      </w:r>
    </w:p>
    <w:p w14:paraId="0F7F6AD8">
      <w:pPr>
        <w:spacing w:line="440" w:lineRule="atLeast"/>
        <w:jc w:val="center"/>
        <w:rPr>
          <w:rFonts w:hint="eastAsia" w:ascii="宋体" w:hAnsi="宋体" w:cs="宋体"/>
          <w:b/>
          <w:bCs w:val="0"/>
          <w:sz w:val="30"/>
          <w:szCs w:val="30"/>
          <w:lang w:val="en-US" w:eastAsia="zh-CN"/>
        </w:rPr>
      </w:pPr>
      <w:r>
        <w:rPr>
          <w:rFonts w:hint="eastAsia" w:ascii="宋体" w:hAnsi="宋体" w:cs="宋体"/>
          <w:b/>
          <w:bCs w:val="0"/>
          <w:sz w:val="30"/>
          <w:szCs w:val="30"/>
          <w:lang w:val="en-US" w:eastAsia="zh-CN"/>
        </w:rPr>
        <w:t>有机废物生物转化利用项目4栋建筑物可靠性鉴定及沉降监测服务</w:t>
      </w:r>
    </w:p>
    <w:p w14:paraId="3915D9A8">
      <w:pPr>
        <w:spacing w:line="440" w:lineRule="atLeast"/>
        <w:jc w:val="center"/>
        <w:rPr>
          <w:rFonts w:hint="eastAsia" w:ascii="宋体" w:hAnsi="宋体" w:eastAsia="宋体" w:cs="宋体"/>
          <w:sz w:val="32"/>
          <w:szCs w:val="32"/>
          <w:lang w:val="en-US" w:eastAsia="zh-CN"/>
        </w:rPr>
      </w:pPr>
      <w:r>
        <w:rPr>
          <w:rFonts w:hint="eastAsia" w:ascii="宋体" w:hAnsi="宋体" w:cs="宋体"/>
          <w:b/>
          <w:bCs w:val="0"/>
          <w:sz w:val="30"/>
          <w:szCs w:val="30"/>
          <w:lang w:val="en-US" w:eastAsia="zh-CN"/>
        </w:rPr>
        <w:t>技术参数要求</w:t>
      </w:r>
    </w:p>
    <w:tbl>
      <w:tblPr>
        <w:tblStyle w:val="15"/>
        <w:tblW w:w="963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1357"/>
        <w:gridCol w:w="1650"/>
        <w:gridCol w:w="1350"/>
        <w:gridCol w:w="4300"/>
        <w:gridCol w:w="981"/>
      </w:tblGrid>
      <w:tr w14:paraId="45A480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00" w:hRule="atLeast"/>
          <w:jc w:val="center"/>
        </w:trPr>
        <w:tc>
          <w:tcPr>
            <w:tcW w:w="1357" w:type="dxa"/>
            <w:tcBorders>
              <w:top w:val="single" w:color="auto" w:sz="6" w:space="0"/>
              <w:left w:val="single" w:color="auto" w:sz="6" w:space="0"/>
              <w:bottom w:val="single" w:color="auto" w:sz="4" w:space="0"/>
              <w:right w:val="single" w:color="auto" w:sz="6" w:space="0"/>
            </w:tcBorders>
            <w:shd w:val="clear" w:color="auto" w:fill="EEECE1"/>
            <w:noWrap w:val="0"/>
            <w:vAlign w:val="center"/>
          </w:tcPr>
          <w:p w14:paraId="4F103D7B">
            <w:pPr>
              <w:pStyle w:val="30"/>
              <w:spacing w:before="120" w:line="261" w:lineRule="auto"/>
              <w:ind w:left="621" w:right="128" w:hanging="490"/>
              <w:jc w:val="center"/>
              <w:rPr>
                <w:rFonts w:hint="eastAsia" w:eastAsia="宋体"/>
                <w:shd w:val="clear" w:color="auto" w:fill="auto"/>
                <w:lang w:eastAsia="zh-CN"/>
              </w:rPr>
            </w:pPr>
            <w:r>
              <w:rPr>
                <w:rFonts w:hint="eastAsia"/>
                <w:b/>
                <w:bCs/>
                <w:spacing w:val="-4"/>
                <w:sz w:val="21"/>
                <w:szCs w:val="21"/>
                <w:shd w:val="clear" w:color="auto" w:fill="auto"/>
                <w:lang w:val="en-US" w:eastAsia="zh-CN"/>
              </w:rPr>
              <w:t>项目名称</w:t>
            </w:r>
          </w:p>
        </w:tc>
        <w:tc>
          <w:tcPr>
            <w:tcW w:w="1650" w:type="dxa"/>
            <w:tcBorders>
              <w:top w:val="single" w:color="auto" w:sz="6" w:space="0"/>
              <w:left w:val="single" w:color="auto" w:sz="6" w:space="0"/>
              <w:bottom w:val="single" w:color="auto" w:sz="4" w:space="0"/>
              <w:right w:val="single" w:color="000000" w:sz="2" w:space="0"/>
            </w:tcBorders>
            <w:shd w:val="clear" w:color="auto" w:fill="EEECE1"/>
            <w:noWrap w:val="0"/>
            <w:vAlign w:val="center"/>
          </w:tcPr>
          <w:p w14:paraId="365F97A3">
            <w:pPr>
              <w:pStyle w:val="30"/>
              <w:spacing w:before="78" w:line="219" w:lineRule="auto"/>
              <w:jc w:val="center"/>
              <w:rPr>
                <w:rFonts w:ascii="宋体" w:hAnsi="宋体" w:eastAsia="宋体" w:cs="宋体"/>
                <w:b/>
                <w:bCs/>
                <w:snapToGrid w:val="0"/>
                <w:color w:val="000000"/>
                <w:spacing w:val="-3"/>
                <w:sz w:val="24"/>
                <w:szCs w:val="24"/>
                <w:shd w:val="clear" w:color="auto" w:fill="auto"/>
                <w:lang w:val="en-US" w:eastAsia="zh-CN" w:bidi="ar-SA"/>
              </w:rPr>
            </w:pPr>
            <w:r>
              <w:rPr>
                <w:rFonts w:ascii="宋体" w:hAnsi="宋体" w:eastAsia="宋体" w:cs="宋体"/>
                <w:b/>
                <w:bCs/>
                <w:snapToGrid w:val="0"/>
                <w:color w:val="000000"/>
                <w:spacing w:val="-3"/>
                <w:sz w:val="21"/>
                <w:szCs w:val="21"/>
                <w:shd w:val="clear" w:color="auto" w:fill="auto"/>
                <w:lang w:val="en-US" w:eastAsia="zh-CN" w:bidi="ar-SA"/>
              </w:rPr>
              <w:t>检测鉴定项目</w:t>
            </w:r>
          </w:p>
        </w:tc>
        <w:tc>
          <w:tcPr>
            <w:tcW w:w="1350" w:type="dxa"/>
            <w:tcBorders>
              <w:top w:val="single" w:color="auto" w:sz="6" w:space="0"/>
              <w:left w:val="single" w:color="000000" w:sz="2" w:space="0"/>
              <w:bottom w:val="single" w:color="auto" w:sz="4" w:space="0"/>
              <w:right w:val="single" w:color="auto" w:sz="6" w:space="0"/>
            </w:tcBorders>
            <w:shd w:val="clear" w:color="auto" w:fill="EEECE1"/>
            <w:noWrap w:val="0"/>
            <w:vAlign w:val="center"/>
          </w:tcPr>
          <w:p w14:paraId="717BA4FC">
            <w:pPr>
              <w:pStyle w:val="30"/>
              <w:tabs>
                <w:tab w:val="left" w:pos="486"/>
              </w:tabs>
              <w:spacing w:before="78" w:line="219" w:lineRule="auto"/>
              <w:jc w:val="center"/>
              <w:rPr>
                <w:rFonts w:hint="default" w:ascii="宋体" w:hAnsi="宋体" w:eastAsia="宋体" w:cs="宋体"/>
                <w:b/>
                <w:bCs/>
                <w:snapToGrid w:val="0"/>
                <w:color w:val="000000"/>
                <w:spacing w:val="-3"/>
                <w:sz w:val="24"/>
                <w:szCs w:val="24"/>
                <w:shd w:val="clear" w:color="auto" w:fill="auto"/>
                <w:lang w:val="en-US" w:eastAsia="zh-CN" w:bidi="ar-SA"/>
              </w:rPr>
            </w:pPr>
            <w:r>
              <w:rPr>
                <w:rFonts w:hint="eastAsia" w:cs="宋体"/>
                <w:b/>
                <w:bCs/>
                <w:snapToGrid w:val="0"/>
                <w:color w:val="000000"/>
                <w:spacing w:val="-3"/>
                <w:sz w:val="21"/>
                <w:szCs w:val="21"/>
                <w:shd w:val="clear" w:color="auto" w:fill="auto"/>
                <w:lang w:val="en-US" w:eastAsia="zh-CN" w:bidi="ar-SA"/>
              </w:rPr>
              <w:t>工作内容</w:t>
            </w:r>
          </w:p>
        </w:tc>
        <w:tc>
          <w:tcPr>
            <w:tcW w:w="4300" w:type="dxa"/>
            <w:tcBorders>
              <w:top w:val="single" w:color="auto" w:sz="6" w:space="0"/>
              <w:left w:val="single" w:color="000000" w:sz="2" w:space="0"/>
              <w:bottom w:val="single" w:color="auto" w:sz="4" w:space="0"/>
              <w:right w:val="single" w:color="auto" w:sz="6" w:space="0"/>
            </w:tcBorders>
            <w:shd w:val="clear" w:color="auto" w:fill="EEECE1"/>
            <w:noWrap w:val="0"/>
            <w:vAlign w:val="center"/>
          </w:tcPr>
          <w:p w14:paraId="5FE71943">
            <w:pPr>
              <w:pStyle w:val="30"/>
              <w:spacing w:before="78" w:line="220" w:lineRule="auto"/>
              <w:jc w:val="center"/>
              <w:rPr>
                <w:rFonts w:hint="default"/>
                <w:b/>
                <w:bCs/>
                <w:spacing w:val="-9"/>
                <w:sz w:val="21"/>
                <w:szCs w:val="21"/>
                <w:shd w:val="clear" w:color="auto" w:fill="auto"/>
                <w:lang w:val="en-US" w:eastAsia="zh-CN"/>
              </w:rPr>
            </w:pPr>
            <w:r>
              <w:rPr>
                <w:rFonts w:hint="eastAsia"/>
                <w:b/>
                <w:bCs/>
                <w:spacing w:val="-9"/>
                <w:sz w:val="21"/>
                <w:szCs w:val="21"/>
                <w:shd w:val="clear" w:color="auto" w:fill="auto"/>
                <w:lang w:val="en-US" w:eastAsia="zh-CN"/>
              </w:rPr>
              <w:t>项目内容</w:t>
            </w:r>
          </w:p>
        </w:tc>
        <w:tc>
          <w:tcPr>
            <w:tcW w:w="981" w:type="dxa"/>
            <w:tcBorders>
              <w:top w:val="single" w:color="auto" w:sz="6" w:space="0"/>
              <w:left w:val="single" w:color="auto" w:sz="6" w:space="0"/>
              <w:bottom w:val="single" w:color="auto" w:sz="4" w:space="0"/>
              <w:right w:val="single" w:color="000000" w:sz="2" w:space="0"/>
            </w:tcBorders>
            <w:shd w:val="clear" w:color="auto" w:fill="EEECE1"/>
            <w:noWrap w:val="0"/>
            <w:vAlign w:val="center"/>
          </w:tcPr>
          <w:p w14:paraId="6B2587F2">
            <w:pPr>
              <w:pStyle w:val="30"/>
              <w:spacing w:before="78" w:line="220" w:lineRule="auto"/>
              <w:jc w:val="center"/>
              <w:rPr>
                <w:b/>
                <w:bCs/>
                <w:spacing w:val="-9"/>
                <w:sz w:val="21"/>
                <w:szCs w:val="21"/>
                <w:shd w:val="clear" w:color="auto" w:fill="auto"/>
              </w:rPr>
            </w:pPr>
            <w:r>
              <w:rPr>
                <w:rFonts w:hint="eastAsia"/>
                <w:b/>
                <w:bCs/>
                <w:spacing w:val="-9"/>
                <w:sz w:val="21"/>
                <w:szCs w:val="21"/>
                <w:shd w:val="clear" w:color="auto" w:fill="auto"/>
                <w:lang w:val="en-US" w:eastAsia="zh-CN"/>
              </w:rPr>
              <w:t>工作量</w:t>
            </w:r>
          </w:p>
        </w:tc>
      </w:tr>
      <w:tr w14:paraId="40E21E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466" w:hRule="atLeast"/>
          <w:jc w:val="center"/>
        </w:trPr>
        <w:tc>
          <w:tcPr>
            <w:tcW w:w="1357" w:type="dxa"/>
            <w:vMerge w:val="restart"/>
            <w:tcBorders>
              <w:top w:val="single" w:color="auto" w:sz="4" w:space="0"/>
              <w:left w:val="single" w:color="auto" w:sz="4" w:space="0"/>
              <w:bottom w:val="single" w:color="auto" w:sz="6" w:space="0"/>
              <w:right w:val="single" w:color="auto" w:sz="4" w:space="0"/>
            </w:tcBorders>
            <w:noWrap w:val="0"/>
            <w:vAlign w:val="center"/>
          </w:tcPr>
          <w:p w14:paraId="414F573D">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有机废物生物转化利用项目4栋建筑物可靠性鉴定及沉降监测服务</w:t>
            </w:r>
          </w:p>
        </w:tc>
        <w:tc>
          <w:tcPr>
            <w:tcW w:w="1650" w:type="dxa"/>
            <w:vMerge w:val="restart"/>
            <w:tcBorders>
              <w:top w:val="single" w:color="auto" w:sz="4" w:space="0"/>
              <w:left w:val="single" w:color="auto" w:sz="4" w:space="0"/>
              <w:bottom w:val="single" w:color="auto" w:sz="6" w:space="0"/>
              <w:right w:val="single" w:color="auto" w:sz="4" w:space="0"/>
            </w:tcBorders>
            <w:noWrap w:val="0"/>
            <w:vAlign w:val="center"/>
          </w:tcPr>
          <w:p w14:paraId="33BDFC79">
            <w:pPr>
              <w:jc w:val="center"/>
              <w:rPr>
                <w:rFonts w:hint="eastAsia" w:ascii="宋体" w:hAnsi="宋体" w:eastAsia="宋体" w:cs="宋体"/>
                <w:snapToGrid w:val="0"/>
                <w:color w:val="000000"/>
                <w:spacing w:val="-1"/>
                <w:sz w:val="24"/>
                <w:szCs w:val="24"/>
                <w:lang w:val="en-US" w:eastAsia="zh-CN" w:bidi="ar-SA"/>
              </w:rPr>
            </w:pPr>
            <w:r>
              <w:rPr>
                <w:rFonts w:hint="eastAsia" w:ascii="宋体" w:hAnsi="宋体" w:eastAsia="宋体" w:cs="宋体"/>
                <w:color w:val="auto"/>
                <w:kern w:val="0"/>
                <w:sz w:val="24"/>
                <w:szCs w:val="24"/>
                <w:vertAlign w:val="baseline"/>
                <w:lang w:val="en-US" w:eastAsia="zh-CN" w:bidi="ar"/>
              </w:rPr>
              <w:t>可靠性及抗震性鉴定</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3EF34786">
            <w:pPr>
              <w:jc w:val="center"/>
              <w:rPr>
                <w:rFonts w:hint="eastAsia" w:ascii="宋体" w:hAnsi="宋体" w:eastAsia="宋体" w:cs="宋体"/>
                <w:color w:val="auto"/>
                <w:kern w:val="0"/>
                <w:sz w:val="24"/>
                <w:szCs w:val="24"/>
                <w:vertAlign w:val="baseline"/>
                <w:lang w:val="en-US" w:eastAsia="zh-CN" w:bidi="ar"/>
              </w:rPr>
            </w:pPr>
            <w:r>
              <w:rPr>
                <w:rFonts w:hint="eastAsia" w:ascii="宋体" w:hAnsi="宋体" w:eastAsia="宋体" w:cs="宋体"/>
                <w:color w:val="auto"/>
                <w:kern w:val="0"/>
                <w:sz w:val="24"/>
                <w:szCs w:val="24"/>
                <w:vertAlign w:val="baseline"/>
                <w:lang w:val="en-US" w:eastAsia="zh-CN" w:bidi="ar"/>
              </w:rPr>
              <w:t>养殖车间，车间配套办公室，杂物房及用电房</w:t>
            </w:r>
            <w:r>
              <w:rPr>
                <w:rFonts w:hint="eastAsia" w:ascii="宋体" w:hAnsi="宋体" w:cs="宋体"/>
                <w:color w:val="auto"/>
                <w:kern w:val="0"/>
                <w:sz w:val="24"/>
                <w:szCs w:val="24"/>
                <w:vertAlign w:val="baseline"/>
                <w:lang w:val="en-US" w:eastAsia="zh-CN" w:bidi="ar"/>
              </w:rPr>
              <w:t>4</w:t>
            </w:r>
            <w:r>
              <w:rPr>
                <w:rFonts w:hint="eastAsia" w:ascii="宋体" w:hAnsi="宋体" w:eastAsia="宋体" w:cs="宋体"/>
                <w:color w:val="auto"/>
                <w:kern w:val="0"/>
                <w:sz w:val="24"/>
                <w:szCs w:val="24"/>
                <w:vertAlign w:val="baseline"/>
                <w:lang w:val="en-US" w:eastAsia="zh-CN" w:bidi="ar"/>
              </w:rPr>
              <w:t>栋建筑物</w:t>
            </w:r>
          </w:p>
        </w:tc>
        <w:tc>
          <w:tcPr>
            <w:tcW w:w="4300" w:type="dxa"/>
            <w:tcBorders>
              <w:top w:val="single" w:color="auto" w:sz="4" w:space="0"/>
              <w:left w:val="single" w:color="auto" w:sz="4" w:space="0"/>
              <w:bottom w:val="single" w:color="auto" w:sz="4" w:space="0"/>
              <w:right w:val="single" w:color="auto" w:sz="4" w:space="0"/>
            </w:tcBorders>
            <w:noWrap w:val="0"/>
            <w:vAlign w:val="center"/>
          </w:tcPr>
          <w:p w14:paraId="0A1D058E">
            <w:pPr>
              <w:numPr>
                <w:ilvl w:val="0"/>
                <w:numId w:val="5"/>
              </w:numPr>
              <w:jc w:val="left"/>
              <w:rPr>
                <w:rFonts w:hint="eastAsia" w:ascii="宋体" w:hAnsi="宋体" w:eastAsia="宋体" w:cs="宋体"/>
                <w:color w:val="auto"/>
                <w:kern w:val="0"/>
                <w:sz w:val="24"/>
                <w:szCs w:val="24"/>
                <w:vertAlign w:val="baseline"/>
                <w:lang w:val="en-US" w:eastAsia="zh-CN" w:bidi="ar"/>
              </w:rPr>
            </w:pPr>
            <w:r>
              <w:rPr>
                <w:rFonts w:hint="eastAsia" w:ascii="宋体" w:hAnsi="宋体" w:eastAsia="宋体" w:cs="宋体"/>
                <w:color w:val="auto"/>
                <w:kern w:val="0"/>
                <w:sz w:val="24"/>
                <w:szCs w:val="24"/>
                <w:vertAlign w:val="baseline"/>
                <w:lang w:val="en-US" w:eastAsia="zh-CN" w:bidi="ar"/>
              </w:rPr>
              <w:t>地面基础检查：分别检查4栋建筑物的室内外地面和上部结构构件是否有因基础不均匀沉降而出现不适于承载的倾斜、变形情况，结合建筑物侧向位移观测结果及沉降观测数据，推定基础情况）；</w:t>
            </w:r>
          </w:p>
          <w:p w14:paraId="472D2BAE">
            <w:pPr>
              <w:numPr>
                <w:ilvl w:val="0"/>
                <w:numId w:val="5"/>
              </w:numPr>
              <w:ind w:left="0" w:leftChars="0" w:firstLine="0" w:firstLineChars="0"/>
              <w:jc w:val="left"/>
              <w:rPr>
                <w:rFonts w:hint="eastAsia" w:ascii="宋体" w:hAnsi="宋体" w:cs="宋体"/>
                <w:color w:val="auto"/>
                <w:kern w:val="0"/>
                <w:sz w:val="24"/>
                <w:szCs w:val="24"/>
                <w:vertAlign w:val="baseline"/>
                <w:lang w:val="en-US" w:eastAsia="zh-CN" w:bidi="ar"/>
              </w:rPr>
            </w:pPr>
            <w:r>
              <w:rPr>
                <w:rFonts w:hint="eastAsia" w:ascii="宋体" w:hAnsi="宋体" w:eastAsia="宋体" w:cs="宋体"/>
                <w:color w:val="auto"/>
                <w:kern w:val="0"/>
                <w:sz w:val="24"/>
                <w:szCs w:val="24"/>
                <w:vertAlign w:val="baseline"/>
                <w:lang w:val="en-US" w:eastAsia="zh-CN" w:bidi="ar"/>
              </w:rPr>
              <w:t>钢构件检测（钢构件截面尺寸检测，钢构件螺栓连接和焊接节点检查，柱间支撑布置、屋盖支撑布置等构造和结构整体性检查，采用里氏硬度计抽检主要受力构件的钢材强度，抽检主要受力钢构件的涂层厚度</w:t>
            </w:r>
            <w:r>
              <w:rPr>
                <w:rFonts w:hint="eastAsia" w:ascii="宋体" w:hAnsi="宋体" w:eastAsia="宋体" w:cs="宋体"/>
                <w:color w:val="auto"/>
                <w:kern w:val="0"/>
                <w:sz w:val="24"/>
                <w:szCs w:val="24"/>
                <w:vertAlign w:val="baseline"/>
                <w:lang w:val="en-US" w:eastAsia="zh-CN" w:bidi="ar"/>
              </w:rPr>
              <w:t>）；</w:t>
            </w:r>
          </w:p>
          <w:p w14:paraId="480E0DAB">
            <w:pPr>
              <w:numPr>
                <w:ilvl w:val="0"/>
                <w:numId w:val="5"/>
              </w:numPr>
              <w:ind w:left="0" w:leftChars="0" w:firstLine="0" w:firstLineChars="0"/>
              <w:jc w:val="left"/>
              <w:rPr>
                <w:rFonts w:hint="eastAsia" w:ascii="宋体" w:hAnsi="宋体" w:eastAsia="宋体" w:cs="宋体"/>
                <w:color w:val="auto"/>
                <w:kern w:val="0"/>
                <w:sz w:val="24"/>
                <w:szCs w:val="24"/>
                <w:vertAlign w:val="baseline"/>
                <w:lang w:val="en-US" w:eastAsia="zh-CN" w:bidi="ar"/>
              </w:rPr>
            </w:pPr>
            <w:r>
              <w:rPr>
                <w:rFonts w:hint="eastAsia" w:ascii="宋体" w:hAnsi="宋体" w:eastAsia="宋体" w:cs="宋体"/>
                <w:color w:val="auto"/>
                <w:kern w:val="0"/>
                <w:sz w:val="24"/>
                <w:szCs w:val="24"/>
                <w:vertAlign w:val="baseline"/>
                <w:lang w:val="en-US" w:eastAsia="zh-CN" w:bidi="ar"/>
              </w:rPr>
              <w:t>混凝土构件检测（构件截面尺寸检测，构件中钢筋检测，构件的缺陷与损伤检查，抗震构造措施核查）；</w:t>
            </w:r>
          </w:p>
          <w:p w14:paraId="6FD47977">
            <w:pPr>
              <w:numPr>
                <w:numId w:val="0"/>
              </w:numPr>
              <w:jc w:val="left"/>
              <w:rPr>
                <w:rFonts w:hint="eastAsia" w:ascii="宋体" w:hAnsi="宋体" w:eastAsia="宋体" w:cs="宋体"/>
                <w:color w:val="auto"/>
                <w:kern w:val="0"/>
                <w:sz w:val="24"/>
                <w:szCs w:val="24"/>
                <w:vertAlign w:val="baseline"/>
                <w:lang w:val="en-US" w:eastAsia="zh-CN" w:bidi="ar"/>
              </w:rPr>
            </w:pPr>
            <w:r>
              <w:rPr>
                <w:rFonts w:hint="eastAsia" w:ascii="宋体" w:hAnsi="宋体" w:eastAsia="宋体" w:cs="宋体"/>
                <w:color w:val="auto"/>
                <w:kern w:val="0"/>
                <w:sz w:val="24"/>
                <w:szCs w:val="24"/>
                <w:vertAlign w:val="baseline"/>
                <w:lang w:val="en-US" w:eastAsia="zh-CN" w:bidi="ar"/>
              </w:rPr>
              <w:t>4.围护结构构件检测（检查屋面、外墙、门窗、</w:t>
            </w:r>
            <w:r>
              <w:rPr>
                <w:rFonts w:hint="eastAsia" w:ascii="宋体" w:hAnsi="宋体" w:cs="宋体"/>
                <w:color w:val="auto"/>
                <w:kern w:val="0"/>
                <w:sz w:val="24"/>
                <w:szCs w:val="24"/>
                <w:vertAlign w:val="baseline"/>
                <w:lang w:val="en-US" w:eastAsia="zh-CN" w:bidi="ar"/>
              </w:rPr>
              <w:t>雨棚</w:t>
            </w:r>
            <w:r>
              <w:rPr>
                <w:rFonts w:hint="eastAsia" w:ascii="宋体" w:hAnsi="宋体" w:eastAsia="宋体" w:cs="宋体"/>
                <w:color w:val="auto"/>
                <w:kern w:val="0"/>
                <w:sz w:val="24"/>
                <w:szCs w:val="24"/>
                <w:vertAlign w:val="baseline"/>
                <w:lang w:val="en-US" w:eastAsia="zh-CN" w:bidi="ar"/>
              </w:rPr>
              <w:t>、栏杆等围护及附属构件完整性、稳定性，检查渗漏、开裂、松动、脱落等问题）；</w:t>
            </w:r>
          </w:p>
          <w:p w14:paraId="02029ABA">
            <w:pPr>
              <w:numPr>
                <w:numId w:val="0"/>
              </w:numPr>
              <w:ind w:leftChars="0"/>
              <w:jc w:val="left"/>
              <w:rPr>
                <w:rFonts w:hint="eastAsia" w:ascii="宋体" w:hAnsi="宋体" w:eastAsia="宋体" w:cs="宋体"/>
                <w:color w:val="auto"/>
                <w:kern w:val="0"/>
                <w:sz w:val="24"/>
                <w:szCs w:val="24"/>
                <w:vertAlign w:val="baseline"/>
                <w:lang w:val="en-US" w:eastAsia="zh-CN" w:bidi="ar"/>
              </w:rPr>
            </w:pPr>
            <w:r>
              <w:rPr>
                <w:rFonts w:hint="eastAsia" w:ascii="宋体" w:hAnsi="宋体" w:eastAsia="宋体" w:cs="宋体"/>
                <w:color w:val="auto"/>
                <w:kern w:val="0"/>
                <w:sz w:val="24"/>
                <w:szCs w:val="24"/>
                <w:vertAlign w:val="baseline"/>
                <w:lang w:val="en-US" w:eastAsia="zh-CN" w:bidi="ar"/>
              </w:rPr>
              <w:t>5.建筑物可靠性和抗震鉴定</w:t>
            </w:r>
            <w:r>
              <w:rPr>
                <w:rFonts w:hint="eastAsia" w:ascii="宋体" w:hAnsi="宋体" w:eastAsia="宋体" w:cs="宋体"/>
                <w:color w:val="auto"/>
                <w:kern w:val="0"/>
                <w:sz w:val="24"/>
                <w:szCs w:val="24"/>
                <w:vertAlign w:val="baseline"/>
                <w:lang w:val="en-US" w:eastAsia="zh-CN" w:bidi="ar"/>
              </w:rPr>
              <w:t>：</w:t>
            </w:r>
          </w:p>
          <w:p w14:paraId="32ABF65A">
            <w:pPr>
              <w:numPr>
                <w:ilvl w:val="0"/>
                <w:numId w:val="6"/>
              </w:numPr>
              <w:ind w:leftChars="0"/>
              <w:jc w:val="left"/>
              <w:rPr>
                <w:rFonts w:hint="eastAsia" w:ascii="宋体" w:hAnsi="宋体" w:eastAsia="宋体" w:cs="宋体"/>
                <w:color w:val="auto"/>
                <w:kern w:val="0"/>
                <w:sz w:val="24"/>
                <w:szCs w:val="24"/>
                <w:vertAlign w:val="baseline"/>
                <w:lang w:val="en-US" w:eastAsia="zh-CN" w:bidi="ar"/>
              </w:rPr>
            </w:pPr>
            <w:r>
              <w:rPr>
                <w:rFonts w:hint="eastAsia" w:ascii="宋体" w:hAnsi="宋体" w:eastAsia="宋体" w:cs="宋体"/>
                <w:color w:val="auto"/>
                <w:kern w:val="0"/>
                <w:sz w:val="24"/>
                <w:szCs w:val="24"/>
                <w:vertAlign w:val="baseline"/>
                <w:lang w:val="en-US" w:eastAsia="zh-CN" w:bidi="ar"/>
              </w:rPr>
              <w:t>根据现场检测数据结果分别核对4栋建筑物的结构形式、构件截面尺寸等是否符合设计图纸要求；</w:t>
            </w:r>
          </w:p>
          <w:p w14:paraId="7357B69B">
            <w:pPr>
              <w:numPr>
                <w:ilvl w:val="0"/>
                <w:numId w:val="6"/>
              </w:numPr>
              <w:ind w:left="0" w:leftChars="0" w:firstLine="0" w:firstLineChars="0"/>
              <w:jc w:val="left"/>
              <w:rPr>
                <w:rFonts w:hint="eastAsia" w:ascii="宋体" w:hAnsi="宋体" w:eastAsia="宋体" w:cs="宋体"/>
                <w:color w:val="auto"/>
                <w:kern w:val="0"/>
                <w:sz w:val="24"/>
                <w:szCs w:val="24"/>
                <w:vertAlign w:val="baseline"/>
                <w:lang w:val="en-US" w:eastAsia="zh-CN" w:bidi="ar"/>
              </w:rPr>
            </w:pPr>
            <w:r>
              <w:rPr>
                <w:rFonts w:hint="eastAsia" w:ascii="宋体" w:hAnsi="宋体" w:eastAsia="宋体" w:cs="宋体"/>
                <w:color w:val="auto"/>
                <w:kern w:val="0"/>
                <w:sz w:val="24"/>
                <w:szCs w:val="24"/>
                <w:vertAlign w:val="baseline"/>
                <w:lang w:val="en-US" w:eastAsia="zh-CN" w:bidi="ar"/>
              </w:rPr>
              <w:t>根据现场检测数据结果分别对4栋建筑物主体结构进行</w:t>
            </w:r>
            <w:bookmarkStart w:id="0" w:name="_GoBack"/>
            <w:bookmarkEnd w:id="0"/>
            <w:r>
              <w:rPr>
                <w:rFonts w:hint="eastAsia" w:ascii="宋体" w:hAnsi="宋体" w:eastAsia="宋体" w:cs="宋体"/>
                <w:color w:val="auto"/>
                <w:kern w:val="0"/>
                <w:sz w:val="24"/>
                <w:szCs w:val="24"/>
                <w:vertAlign w:val="baseline"/>
                <w:lang w:val="en-US" w:eastAsia="zh-CN" w:bidi="ar"/>
              </w:rPr>
              <w:t>安全</w:t>
            </w:r>
            <w:r>
              <w:rPr>
                <w:rFonts w:hint="eastAsia" w:ascii="宋体" w:hAnsi="宋体" w:cs="宋体"/>
                <w:color w:val="auto"/>
                <w:kern w:val="0"/>
                <w:sz w:val="24"/>
                <w:szCs w:val="24"/>
                <w:vertAlign w:val="baseline"/>
                <w:lang w:val="en-US" w:eastAsia="zh-CN" w:bidi="ar"/>
              </w:rPr>
              <w:t>承载力</w:t>
            </w:r>
            <w:r>
              <w:rPr>
                <w:rFonts w:hint="eastAsia" w:ascii="宋体" w:hAnsi="宋体" w:eastAsia="宋体" w:cs="宋体"/>
                <w:color w:val="auto"/>
                <w:kern w:val="0"/>
                <w:sz w:val="24"/>
                <w:szCs w:val="24"/>
                <w:vertAlign w:val="baseline"/>
                <w:lang w:val="en-US" w:eastAsia="zh-CN" w:bidi="ar"/>
              </w:rPr>
              <w:t>、抗震承载力验算；</w:t>
            </w:r>
          </w:p>
          <w:p w14:paraId="64182A6C">
            <w:pPr>
              <w:numPr>
                <w:ilvl w:val="0"/>
                <w:numId w:val="6"/>
              </w:numPr>
              <w:ind w:left="0" w:leftChars="0" w:firstLine="0" w:firstLineChars="0"/>
              <w:jc w:val="left"/>
              <w:rPr>
                <w:rFonts w:hint="eastAsia" w:ascii="宋体" w:hAnsi="宋体" w:eastAsia="宋体" w:cs="宋体"/>
                <w:color w:val="auto"/>
                <w:kern w:val="0"/>
                <w:sz w:val="24"/>
                <w:szCs w:val="24"/>
                <w:vertAlign w:val="baseline"/>
                <w:lang w:val="en-US" w:eastAsia="zh-CN" w:bidi="ar"/>
              </w:rPr>
            </w:pPr>
            <w:r>
              <w:rPr>
                <w:rFonts w:hint="eastAsia" w:ascii="宋体" w:hAnsi="宋体" w:eastAsia="宋体" w:cs="宋体"/>
                <w:color w:val="auto"/>
                <w:kern w:val="0"/>
                <w:sz w:val="24"/>
                <w:szCs w:val="24"/>
                <w:vertAlign w:val="baseline"/>
                <w:lang w:val="en-US" w:eastAsia="zh-CN" w:bidi="ar"/>
              </w:rPr>
              <w:t>分别对4栋建筑进行安全性、使用性、可靠性进行评级，对房屋抗震性能进行评定，编写4栋建筑物的可靠性和抗震鉴定报告；</w:t>
            </w:r>
          </w:p>
          <w:p w14:paraId="7887F136">
            <w:pPr>
              <w:numPr>
                <w:ilvl w:val="0"/>
                <w:numId w:val="6"/>
              </w:numPr>
              <w:ind w:left="0" w:leftChars="0" w:firstLine="0" w:firstLineChars="0"/>
              <w:jc w:val="left"/>
              <w:rPr>
                <w:rFonts w:hint="eastAsia" w:ascii="宋体" w:hAnsi="宋体" w:eastAsia="宋体" w:cs="宋体"/>
                <w:color w:val="auto"/>
                <w:kern w:val="0"/>
                <w:sz w:val="24"/>
                <w:szCs w:val="24"/>
                <w:vertAlign w:val="baseline"/>
                <w:lang w:val="en-US" w:eastAsia="zh-CN" w:bidi="ar"/>
              </w:rPr>
            </w:pPr>
            <w:r>
              <w:rPr>
                <w:rFonts w:hint="eastAsia" w:ascii="宋体" w:hAnsi="宋体" w:eastAsia="宋体" w:cs="宋体"/>
                <w:color w:val="auto"/>
                <w:kern w:val="0"/>
                <w:sz w:val="24"/>
                <w:szCs w:val="24"/>
                <w:vertAlign w:val="baseline"/>
                <w:lang w:val="en-US" w:eastAsia="zh-CN" w:bidi="ar"/>
              </w:rPr>
              <w:t>鉴定报告核对、审核；</w:t>
            </w:r>
          </w:p>
          <w:p w14:paraId="7822DE51">
            <w:pPr>
              <w:numPr>
                <w:ilvl w:val="0"/>
                <w:numId w:val="0"/>
              </w:numPr>
              <w:ind w:leftChars="0"/>
              <w:jc w:val="left"/>
              <w:rPr>
                <w:rFonts w:hint="eastAsia" w:ascii="宋体" w:hAnsi="宋体" w:eastAsia="宋体" w:cs="宋体"/>
                <w:snapToGrid w:val="0"/>
                <w:color w:val="000000"/>
                <w:spacing w:val="-1"/>
                <w:sz w:val="24"/>
                <w:szCs w:val="24"/>
                <w:lang w:val="en-US" w:eastAsia="zh-CN" w:bidi="ar-SA"/>
              </w:rPr>
            </w:pPr>
            <w:r>
              <w:rPr>
                <w:rFonts w:hint="eastAsia" w:ascii="宋体" w:hAnsi="宋体" w:eastAsia="宋体" w:cs="宋体"/>
                <w:color w:val="auto"/>
                <w:kern w:val="0"/>
                <w:sz w:val="24"/>
                <w:szCs w:val="24"/>
                <w:vertAlign w:val="baseline"/>
                <w:lang w:val="en-US" w:eastAsia="zh-CN" w:bidi="ar"/>
              </w:rPr>
              <w:t>e.鉴定报告纸质版及电子版制作</w:t>
            </w:r>
            <w:r>
              <w:rPr>
                <w:rFonts w:hint="eastAsia" w:ascii="宋体" w:hAnsi="宋体" w:cs="宋体"/>
                <w:color w:val="auto"/>
                <w:kern w:val="0"/>
                <w:sz w:val="24"/>
                <w:szCs w:val="24"/>
                <w:vertAlign w:val="baseline"/>
                <w:lang w:val="en-US" w:eastAsia="zh-CN" w:bidi="ar"/>
              </w:rPr>
              <w:t>。</w:t>
            </w:r>
          </w:p>
        </w:tc>
        <w:tc>
          <w:tcPr>
            <w:tcW w:w="981" w:type="dxa"/>
            <w:tcBorders>
              <w:top w:val="single" w:color="auto" w:sz="4" w:space="0"/>
              <w:left w:val="single" w:color="auto" w:sz="4" w:space="0"/>
              <w:bottom w:val="single" w:color="auto" w:sz="4" w:space="0"/>
              <w:right w:val="single" w:color="auto" w:sz="4" w:space="0"/>
            </w:tcBorders>
            <w:noWrap w:val="0"/>
            <w:vAlign w:val="center"/>
          </w:tcPr>
          <w:p w14:paraId="6934B6AB">
            <w:pPr>
              <w:jc w:val="center"/>
              <w:rPr>
                <w:rFonts w:hint="eastAsia" w:ascii="宋体" w:hAnsi="宋体" w:eastAsia="宋体" w:cs="宋体"/>
                <w:snapToGrid w:val="0"/>
                <w:color w:val="000000"/>
                <w:spacing w:val="-1"/>
                <w:sz w:val="24"/>
                <w:szCs w:val="24"/>
                <w:lang w:val="en-US" w:eastAsia="zh-CN" w:bidi="ar-SA"/>
              </w:rPr>
            </w:pPr>
            <w:r>
              <w:rPr>
                <w:rFonts w:hint="eastAsia" w:ascii="宋体" w:hAnsi="宋体" w:eastAsia="宋体" w:cs="宋体"/>
                <w:snapToGrid w:val="0"/>
                <w:color w:val="000000"/>
                <w:spacing w:val="-1"/>
                <w:sz w:val="24"/>
                <w:szCs w:val="24"/>
                <w:lang w:val="en-US" w:eastAsia="zh-CN" w:bidi="ar-SA"/>
              </w:rPr>
              <w:t>5940.2㎡</w:t>
            </w:r>
          </w:p>
        </w:tc>
      </w:tr>
      <w:tr w14:paraId="14A39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37" w:hRule="atLeast"/>
          <w:jc w:val="center"/>
        </w:trPr>
        <w:tc>
          <w:tcPr>
            <w:tcW w:w="1357" w:type="dxa"/>
            <w:vMerge w:val="continue"/>
            <w:tcBorders>
              <w:top w:val="single" w:color="auto" w:sz="6" w:space="0"/>
              <w:left w:val="single" w:color="auto" w:sz="4" w:space="0"/>
              <w:bottom w:val="single" w:color="auto" w:sz="6" w:space="0"/>
              <w:right w:val="single" w:color="auto" w:sz="4" w:space="0"/>
            </w:tcBorders>
            <w:noWrap w:val="0"/>
            <w:vAlign w:val="center"/>
          </w:tcPr>
          <w:p w14:paraId="4132B85E">
            <w:pPr>
              <w:jc w:val="center"/>
              <w:rPr>
                <w:rFonts w:hint="eastAsia" w:ascii="宋体" w:hAnsi="宋体" w:eastAsia="宋体" w:cs="宋体"/>
                <w:sz w:val="24"/>
                <w:szCs w:val="24"/>
                <w:lang w:val="en-US" w:eastAsia="zh-CN"/>
              </w:rPr>
            </w:pPr>
          </w:p>
        </w:tc>
        <w:tc>
          <w:tcPr>
            <w:tcW w:w="1650" w:type="dxa"/>
            <w:vMerge w:val="continue"/>
            <w:tcBorders>
              <w:top w:val="single" w:color="auto" w:sz="6" w:space="0"/>
              <w:left w:val="single" w:color="auto" w:sz="4" w:space="0"/>
              <w:bottom w:val="single" w:color="auto" w:sz="6" w:space="0"/>
              <w:right w:val="single" w:color="auto" w:sz="4" w:space="0"/>
            </w:tcBorders>
            <w:noWrap w:val="0"/>
            <w:vAlign w:val="center"/>
          </w:tcPr>
          <w:p w14:paraId="1F8A95D6">
            <w:pPr>
              <w:jc w:val="center"/>
              <w:rPr>
                <w:rFonts w:hint="eastAsia" w:ascii="宋体" w:hAnsi="宋体" w:eastAsia="宋体" w:cs="宋体"/>
                <w:color w:val="auto"/>
                <w:kern w:val="0"/>
                <w:sz w:val="24"/>
                <w:szCs w:val="24"/>
                <w:vertAlign w:val="baseline"/>
                <w:lang w:val="en-US" w:eastAsia="zh-CN" w:bidi="ar"/>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3CB318EC">
            <w:pPr>
              <w:jc w:val="center"/>
              <w:rPr>
                <w:rFonts w:hint="eastAsia" w:ascii="宋体" w:hAnsi="宋体" w:eastAsia="宋体" w:cs="宋体"/>
                <w:color w:val="auto"/>
                <w:kern w:val="0"/>
                <w:sz w:val="24"/>
                <w:szCs w:val="24"/>
                <w:vertAlign w:val="baseline"/>
                <w:lang w:val="en-US" w:eastAsia="zh-CN" w:bidi="ar"/>
              </w:rPr>
            </w:pPr>
            <w:r>
              <w:rPr>
                <w:rFonts w:hint="eastAsia" w:ascii="宋体" w:hAnsi="宋体" w:eastAsia="宋体" w:cs="宋体"/>
                <w:color w:val="auto"/>
                <w:kern w:val="0"/>
                <w:sz w:val="24"/>
                <w:szCs w:val="24"/>
                <w:vertAlign w:val="baseline"/>
                <w:lang w:val="en-US" w:eastAsia="zh-CN" w:bidi="ar"/>
              </w:rPr>
              <w:t>钻芯法检测混凝土抗压强度</w:t>
            </w:r>
          </w:p>
        </w:tc>
        <w:tc>
          <w:tcPr>
            <w:tcW w:w="4300" w:type="dxa"/>
            <w:tcBorders>
              <w:top w:val="single" w:color="auto" w:sz="4" w:space="0"/>
              <w:left w:val="single" w:color="auto" w:sz="4" w:space="0"/>
              <w:bottom w:val="single" w:color="auto" w:sz="4" w:space="0"/>
              <w:right w:val="single" w:color="auto" w:sz="4" w:space="0"/>
            </w:tcBorders>
            <w:noWrap w:val="0"/>
            <w:vAlign w:val="center"/>
          </w:tcPr>
          <w:p w14:paraId="347077E4">
            <w:pPr>
              <w:jc w:val="left"/>
              <w:rPr>
                <w:rFonts w:hint="eastAsia" w:ascii="宋体" w:hAnsi="宋体" w:eastAsia="宋体" w:cs="宋体"/>
                <w:snapToGrid w:val="0"/>
                <w:color w:val="000000"/>
                <w:spacing w:val="-1"/>
                <w:sz w:val="24"/>
                <w:szCs w:val="24"/>
                <w:lang w:val="en-US" w:eastAsia="zh-CN" w:bidi="ar-SA"/>
              </w:rPr>
            </w:pPr>
            <w:r>
              <w:rPr>
                <w:rFonts w:hint="eastAsia" w:ascii="宋体" w:hAnsi="宋体" w:eastAsia="宋体" w:cs="宋体"/>
                <w:b w:val="0"/>
                <w:bCs w:val="0"/>
                <w:color w:val="auto"/>
                <w:kern w:val="0"/>
                <w:sz w:val="24"/>
                <w:szCs w:val="24"/>
                <w:vertAlign w:val="baseline"/>
                <w:lang w:val="en-US" w:eastAsia="zh-CN" w:bidi="ar"/>
              </w:rPr>
              <w:t>电房框架结构建筑物，内容包括：1.探测定位；2.现场钻取混凝土芯样；3.芯样加工</w:t>
            </w:r>
            <w:r>
              <w:rPr>
                <w:rFonts w:hint="eastAsia" w:ascii="宋体" w:hAnsi="宋体" w:eastAsia="宋体" w:cs="宋体"/>
                <w:b w:val="0"/>
                <w:bCs w:val="0"/>
                <w:color w:val="auto"/>
                <w:kern w:val="0"/>
                <w:sz w:val="24"/>
                <w:szCs w:val="24"/>
                <w:vertAlign w:val="baseline"/>
                <w:lang w:val="en-US" w:eastAsia="zh-CN" w:bidi="ar"/>
              </w:rPr>
              <w:t>；4.芯样送检测</w:t>
            </w:r>
            <w:r>
              <w:rPr>
                <w:rFonts w:hint="eastAsia" w:ascii="宋体" w:hAnsi="宋体" w:cs="宋体"/>
                <w:b w:val="0"/>
                <w:bCs w:val="0"/>
                <w:color w:val="auto"/>
                <w:kern w:val="0"/>
                <w:sz w:val="24"/>
                <w:szCs w:val="24"/>
                <w:vertAlign w:val="baseline"/>
                <w:lang w:val="en-US" w:eastAsia="zh-CN" w:bidi="ar"/>
              </w:rPr>
              <w:t>。</w:t>
            </w:r>
          </w:p>
        </w:tc>
        <w:tc>
          <w:tcPr>
            <w:tcW w:w="981" w:type="dxa"/>
            <w:tcBorders>
              <w:top w:val="single" w:color="auto" w:sz="4" w:space="0"/>
              <w:left w:val="single" w:color="auto" w:sz="4" w:space="0"/>
              <w:bottom w:val="single" w:color="auto" w:sz="4" w:space="0"/>
              <w:right w:val="single" w:color="auto" w:sz="4" w:space="0"/>
            </w:tcBorders>
            <w:noWrap w:val="0"/>
            <w:vAlign w:val="center"/>
          </w:tcPr>
          <w:p w14:paraId="623023A4">
            <w:pPr>
              <w:jc w:val="center"/>
              <w:rPr>
                <w:rFonts w:hint="eastAsia" w:ascii="宋体" w:hAnsi="宋体" w:eastAsia="宋体" w:cs="宋体"/>
                <w:snapToGrid w:val="0"/>
                <w:color w:val="000000"/>
                <w:spacing w:val="-1"/>
                <w:sz w:val="24"/>
                <w:szCs w:val="24"/>
                <w:lang w:val="en-US" w:eastAsia="zh-CN" w:bidi="ar-SA"/>
              </w:rPr>
            </w:pPr>
            <w:r>
              <w:rPr>
                <w:rFonts w:hint="eastAsia" w:ascii="宋体" w:hAnsi="宋体" w:cs="宋体"/>
                <w:snapToGrid w:val="0"/>
                <w:color w:val="000000"/>
                <w:spacing w:val="-1"/>
                <w:sz w:val="24"/>
                <w:szCs w:val="24"/>
                <w:lang w:val="en-US" w:eastAsia="zh-CN" w:bidi="ar-SA"/>
              </w:rPr>
              <w:t>4</w:t>
            </w:r>
            <w:r>
              <w:rPr>
                <w:rFonts w:hint="eastAsia" w:ascii="宋体" w:hAnsi="宋体" w:eastAsia="宋体" w:cs="宋体"/>
                <w:snapToGrid w:val="0"/>
                <w:color w:val="000000"/>
                <w:spacing w:val="-1"/>
                <w:sz w:val="24"/>
                <w:szCs w:val="24"/>
                <w:lang w:val="en-US" w:eastAsia="zh-CN" w:bidi="ar-SA"/>
              </w:rPr>
              <w:t>个</w:t>
            </w:r>
          </w:p>
        </w:tc>
      </w:tr>
      <w:tr w14:paraId="646B7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82" w:hRule="atLeast"/>
          <w:jc w:val="center"/>
        </w:trPr>
        <w:tc>
          <w:tcPr>
            <w:tcW w:w="1357" w:type="dxa"/>
            <w:vMerge w:val="continue"/>
            <w:tcBorders>
              <w:top w:val="single" w:color="auto" w:sz="6" w:space="0"/>
              <w:left w:val="single" w:color="auto" w:sz="4" w:space="0"/>
              <w:bottom w:val="single" w:color="auto" w:sz="6" w:space="0"/>
              <w:right w:val="single" w:color="auto" w:sz="4" w:space="0"/>
            </w:tcBorders>
            <w:noWrap w:val="0"/>
            <w:vAlign w:val="center"/>
          </w:tcPr>
          <w:p w14:paraId="5B4CCD81">
            <w:pPr>
              <w:jc w:val="center"/>
              <w:rPr>
                <w:rFonts w:hint="eastAsia" w:ascii="宋体" w:hAnsi="宋体" w:eastAsia="宋体" w:cs="宋体"/>
                <w:sz w:val="24"/>
                <w:szCs w:val="24"/>
                <w:lang w:val="en-US" w:eastAsia="zh-CN"/>
              </w:rPr>
            </w:pPr>
          </w:p>
        </w:tc>
        <w:tc>
          <w:tcPr>
            <w:tcW w:w="1650" w:type="dxa"/>
            <w:vMerge w:val="continue"/>
            <w:tcBorders>
              <w:top w:val="single" w:color="auto" w:sz="6" w:space="0"/>
              <w:left w:val="single" w:color="auto" w:sz="4" w:space="0"/>
              <w:bottom w:val="single" w:color="auto" w:sz="6" w:space="0"/>
              <w:right w:val="single" w:color="auto" w:sz="4" w:space="0"/>
            </w:tcBorders>
            <w:noWrap w:val="0"/>
            <w:vAlign w:val="center"/>
          </w:tcPr>
          <w:p w14:paraId="4434486B">
            <w:pPr>
              <w:jc w:val="center"/>
              <w:rPr>
                <w:rFonts w:hint="eastAsia" w:ascii="宋体" w:hAnsi="宋体" w:eastAsia="宋体" w:cs="宋体"/>
                <w:color w:val="auto"/>
                <w:kern w:val="0"/>
                <w:sz w:val="24"/>
                <w:szCs w:val="24"/>
                <w:vertAlign w:val="baseline"/>
                <w:lang w:val="en-US" w:eastAsia="zh-CN" w:bidi="ar"/>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1C37BA8D">
            <w:pPr>
              <w:jc w:val="center"/>
              <w:rPr>
                <w:rFonts w:hint="eastAsia" w:ascii="宋体" w:hAnsi="宋体" w:eastAsia="宋体" w:cs="宋体"/>
                <w:color w:val="auto"/>
                <w:kern w:val="0"/>
                <w:sz w:val="24"/>
                <w:szCs w:val="24"/>
                <w:vertAlign w:val="baseline"/>
                <w:lang w:val="en-US" w:eastAsia="zh-CN" w:bidi="ar"/>
              </w:rPr>
            </w:pPr>
            <w:r>
              <w:rPr>
                <w:rFonts w:hint="eastAsia" w:ascii="宋体" w:hAnsi="宋体" w:eastAsia="宋体" w:cs="宋体"/>
                <w:color w:val="auto"/>
                <w:kern w:val="0"/>
                <w:sz w:val="24"/>
                <w:szCs w:val="24"/>
                <w:vertAlign w:val="baseline"/>
                <w:lang w:val="en-US" w:eastAsia="zh-CN" w:bidi="ar"/>
              </w:rPr>
              <w:t>建筑物倾斜变形检测</w:t>
            </w:r>
          </w:p>
        </w:tc>
        <w:tc>
          <w:tcPr>
            <w:tcW w:w="4300" w:type="dxa"/>
            <w:tcBorders>
              <w:top w:val="single" w:color="auto" w:sz="4" w:space="0"/>
              <w:left w:val="single" w:color="auto" w:sz="4" w:space="0"/>
              <w:bottom w:val="single" w:color="auto" w:sz="4" w:space="0"/>
              <w:right w:val="single" w:color="auto" w:sz="4" w:space="0"/>
            </w:tcBorders>
            <w:noWrap w:val="0"/>
            <w:vAlign w:val="center"/>
          </w:tcPr>
          <w:p w14:paraId="6B5C0B16">
            <w:pPr>
              <w:jc w:val="left"/>
              <w:rPr>
                <w:rFonts w:hint="eastAsia" w:ascii="宋体" w:hAnsi="宋体" w:eastAsia="宋体" w:cs="宋体"/>
                <w:snapToGrid w:val="0"/>
                <w:color w:val="000000"/>
                <w:spacing w:val="-1"/>
                <w:sz w:val="24"/>
                <w:szCs w:val="24"/>
                <w:lang w:val="en-US" w:eastAsia="zh-CN" w:bidi="ar-SA"/>
              </w:rPr>
            </w:pPr>
            <w:r>
              <w:rPr>
                <w:rFonts w:hint="eastAsia" w:ascii="宋体" w:hAnsi="宋体" w:eastAsia="宋体" w:cs="宋体"/>
                <w:b w:val="0"/>
                <w:bCs w:val="0"/>
                <w:color w:val="auto"/>
                <w:kern w:val="0"/>
                <w:sz w:val="24"/>
                <w:szCs w:val="24"/>
                <w:vertAlign w:val="baseline"/>
                <w:lang w:val="en-US" w:eastAsia="zh-CN" w:bidi="ar"/>
              </w:rPr>
              <w:t>4栋建筑物共35个检测点（每个建筑物不少于8个检测点，养殖车间增加3个检测点）</w:t>
            </w:r>
            <w:r>
              <w:rPr>
                <w:rFonts w:hint="eastAsia" w:ascii="宋体" w:hAnsi="宋体" w:cs="宋体"/>
                <w:b w:val="0"/>
                <w:bCs w:val="0"/>
                <w:color w:val="auto"/>
                <w:kern w:val="0"/>
                <w:sz w:val="24"/>
                <w:szCs w:val="24"/>
                <w:vertAlign w:val="baseline"/>
                <w:lang w:val="en-US" w:eastAsia="zh-CN" w:bidi="ar"/>
              </w:rPr>
              <w:t>。</w:t>
            </w:r>
          </w:p>
        </w:tc>
        <w:tc>
          <w:tcPr>
            <w:tcW w:w="981" w:type="dxa"/>
            <w:tcBorders>
              <w:top w:val="single" w:color="auto" w:sz="4" w:space="0"/>
              <w:left w:val="single" w:color="auto" w:sz="4" w:space="0"/>
              <w:bottom w:val="single" w:color="auto" w:sz="4" w:space="0"/>
              <w:right w:val="single" w:color="auto" w:sz="4" w:space="0"/>
            </w:tcBorders>
            <w:noWrap w:val="0"/>
            <w:vAlign w:val="center"/>
          </w:tcPr>
          <w:p w14:paraId="2724206B">
            <w:pPr>
              <w:jc w:val="center"/>
              <w:rPr>
                <w:rFonts w:hint="eastAsia" w:ascii="宋体" w:hAnsi="宋体" w:eastAsia="宋体" w:cs="宋体"/>
                <w:snapToGrid w:val="0"/>
                <w:color w:val="000000"/>
                <w:spacing w:val="-1"/>
                <w:sz w:val="24"/>
                <w:szCs w:val="24"/>
                <w:lang w:val="en-US" w:eastAsia="zh-CN" w:bidi="ar-SA"/>
              </w:rPr>
            </w:pPr>
            <w:r>
              <w:rPr>
                <w:rFonts w:hint="eastAsia" w:ascii="宋体" w:hAnsi="宋体" w:eastAsia="宋体" w:cs="宋体"/>
                <w:snapToGrid w:val="0"/>
                <w:color w:val="000000"/>
                <w:spacing w:val="-1"/>
                <w:sz w:val="24"/>
                <w:szCs w:val="24"/>
                <w:lang w:val="en-US" w:eastAsia="zh-CN" w:bidi="ar-SA"/>
              </w:rPr>
              <w:t>35点位</w:t>
            </w:r>
          </w:p>
        </w:tc>
      </w:tr>
      <w:tr w14:paraId="4E88D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82" w:hRule="atLeast"/>
          <w:jc w:val="center"/>
        </w:trPr>
        <w:tc>
          <w:tcPr>
            <w:tcW w:w="1357" w:type="dxa"/>
            <w:vMerge w:val="continue"/>
            <w:tcBorders>
              <w:top w:val="single" w:color="auto" w:sz="6" w:space="0"/>
              <w:left w:val="single" w:color="auto" w:sz="4" w:space="0"/>
              <w:bottom w:val="single" w:color="auto" w:sz="6" w:space="0"/>
              <w:right w:val="single" w:color="auto" w:sz="4" w:space="0"/>
            </w:tcBorders>
            <w:noWrap w:val="0"/>
            <w:vAlign w:val="center"/>
          </w:tcPr>
          <w:p w14:paraId="47ECC28E">
            <w:pPr>
              <w:jc w:val="center"/>
              <w:rPr>
                <w:rFonts w:hint="eastAsia" w:ascii="宋体" w:hAnsi="宋体" w:eastAsia="宋体" w:cs="宋体"/>
                <w:sz w:val="24"/>
                <w:szCs w:val="24"/>
                <w:lang w:val="en-US" w:eastAsia="zh-CN"/>
              </w:rPr>
            </w:pPr>
          </w:p>
        </w:tc>
        <w:tc>
          <w:tcPr>
            <w:tcW w:w="1650" w:type="dxa"/>
            <w:vMerge w:val="continue"/>
            <w:tcBorders>
              <w:top w:val="single" w:color="auto" w:sz="6" w:space="0"/>
              <w:left w:val="single" w:color="auto" w:sz="4" w:space="0"/>
              <w:bottom w:val="single" w:color="auto" w:sz="6" w:space="0"/>
              <w:right w:val="single" w:color="auto" w:sz="4" w:space="0"/>
            </w:tcBorders>
            <w:noWrap w:val="0"/>
            <w:vAlign w:val="center"/>
          </w:tcPr>
          <w:p w14:paraId="11D241C8">
            <w:pPr>
              <w:jc w:val="center"/>
              <w:rPr>
                <w:rFonts w:hint="eastAsia" w:ascii="宋体" w:hAnsi="宋体" w:eastAsia="宋体" w:cs="宋体"/>
                <w:color w:val="auto"/>
                <w:kern w:val="0"/>
                <w:sz w:val="24"/>
                <w:szCs w:val="24"/>
                <w:vertAlign w:val="baseline"/>
                <w:lang w:val="en-US" w:eastAsia="zh-CN" w:bidi="ar"/>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1324CD64">
            <w:pPr>
              <w:jc w:val="center"/>
              <w:rPr>
                <w:rFonts w:hint="eastAsia" w:ascii="宋体" w:hAnsi="宋体" w:eastAsia="宋体" w:cs="宋体"/>
                <w:color w:val="auto"/>
                <w:kern w:val="0"/>
                <w:sz w:val="24"/>
                <w:szCs w:val="24"/>
                <w:vertAlign w:val="baseline"/>
                <w:lang w:val="en-US" w:eastAsia="zh-CN" w:bidi="ar"/>
              </w:rPr>
            </w:pPr>
            <w:r>
              <w:rPr>
                <w:rFonts w:hint="eastAsia" w:ascii="宋体" w:hAnsi="宋体" w:eastAsia="宋体" w:cs="宋体"/>
                <w:color w:val="auto"/>
                <w:kern w:val="0"/>
                <w:sz w:val="24"/>
                <w:szCs w:val="24"/>
                <w:vertAlign w:val="baseline"/>
                <w:lang w:val="en-US" w:eastAsia="zh-CN" w:bidi="ar"/>
              </w:rPr>
              <w:t>高空作业</w:t>
            </w:r>
          </w:p>
        </w:tc>
        <w:tc>
          <w:tcPr>
            <w:tcW w:w="4300" w:type="dxa"/>
            <w:tcBorders>
              <w:top w:val="single" w:color="auto" w:sz="4" w:space="0"/>
              <w:left w:val="single" w:color="auto" w:sz="4" w:space="0"/>
              <w:bottom w:val="single" w:color="auto" w:sz="4" w:space="0"/>
              <w:right w:val="single" w:color="auto" w:sz="4" w:space="0"/>
            </w:tcBorders>
            <w:noWrap w:val="0"/>
            <w:vAlign w:val="center"/>
          </w:tcPr>
          <w:p w14:paraId="1EF65959">
            <w:pPr>
              <w:jc w:val="left"/>
              <w:rPr>
                <w:rFonts w:hint="eastAsia" w:ascii="宋体" w:hAnsi="宋体" w:eastAsia="宋体" w:cs="宋体"/>
                <w:snapToGrid w:val="0"/>
                <w:color w:val="000000"/>
                <w:spacing w:val="-1"/>
                <w:sz w:val="24"/>
                <w:szCs w:val="24"/>
                <w:lang w:val="en-US" w:eastAsia="zh-CN" w:bidi="ar-SA"/>
              </w:rPr>
            </w:pPr>
            <w:r>
              <w:rPr>
                <w:rFonts w:hint="eastAsia" w:ascii="宋体" w:hAnsi="宋体" w:eastAsia="宋体" w:cs="宋体"/>
                <w:b w:val="0"/>
                <w:bCs w:val="0"/>
                <w:color w:val="auto"/>
                <w:kern w:val="0"/>
                <w:sz w:val="24"/>
                <w:szCs w:val="24"/>
                <w:vertAlign w:val="baseline"/>
                <w:lang w:val="en-US" w:eastAsia="zh-CN" w:bidi="ar"/>
              </w:rPr>
              <w:t>现场利用高空作业车进行钢材强度检测、涂层厚度、螺栓及焊接节点检查</w:t>
            </w:r>
            <w:r>
              <w:rPr>
                <w:rFonts w:hint="eastAsia" w:ascii="宋体" w:hAnsi="宋体" w:cs="宋体"/>
                <w:b w:val="0"/>
                <w:bCs w:val="0"/>
                <w:color w:val="auto"/>
                <w:kern w:val="0"/>
                <w:sz w:val="24"/>
                <w:szCs w:val="24"/>
                <w:vertAlign w:val="baseline"/>
                <w:lang w:val="en-US" w:eastAsia="zh-CN" w:bidi="ar"/>
              </w:rPr>
              <w:t>。</w:t>
            </w:r>
          </w:p>
        </w:tc>
        <w:tc>
          <w:tcPr>
            <w:tcW w:w="981" w:type="dxa"/>
            <w:tcBorders>
              <w:top w:val="single" w:color="auto" w:sz="4" w:space="0"/>
              <w:left w:val="single" w:color="auto" w:sz="4" w:space="0"/>
              <w:bottom w:val="single" w:color="auto" w:sz="4" w:space="0"/>
              <w:right w:val="single" w:color="auto" w:sz="4" w:space="0"/>
            </w:tcBorders>
            <w:noWrap w:val="0"/>
            <w:vAlign w:val="center"/>
          </w:tcPr>
          <w:p w14:paraId="42511B26">
            <w:pPr>
              <w:jc w:val="center"/>
              <w:rPr>
                <w:rFonts w:hint="default" w:ascii="宋体" w:hAnsi="宋体" w:eastAsia="宋体" w:cs="宋体"/>
                <w:snapToGrid w:val="0"/>
                <w:color w:val="000000"/>
                <w:spacing w:val="-1"/>
                <w:sz w:val="24"/>
                <w:szCs w:val="24"/>
                <w:lang w:val="en-US" w:eastAsia="zh-CN" w:bidi="ar-SA"/>
              </w:rPr>
            </w:pPr>
            <w:r>
              <w:rPr>
                <w:rFonts w:hint="eastAsia" w:ascii="宋体" w:hAnsi="宋体" w:cs="宋体"/>
                <w:snapToGrid w:val="0"/>
                <w:color w:val="000000"/>
                <w:spacing w:val="-1"/>
                <w:sz w:val="24"/>
                <w:szCs w:val="24"/>
                <w:lang w:val="en-US" w:eastAsia="zh-CN" w:bidi="ar-SA"/>
              </w:rPr>
              <w:t>1项</w:t>
            </w:r>
          </w:p>
        </w:tc>
      </w:tr>
      <w:tr w14:paraId="6D1D0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219" w:hRule="atLeast"/>
          <w:jc w:val="center"/>
        </w:trPr>
        <w:tc>
          <w:tcPr>
            <w:tcW w:w="1357" w:type="dxa"/>
            <w:vMerge w:val="continue"/>
            <w:tcBorders>
              <w:top w:val="single" w:color="auto" w:sz="6" w:space="0"/>
              <w:left w:val="single" w:color="auto" w:sz="4" w:space="0"/>
              <w:bottom w:val="single" w:color="auto" w:sz="6" w:space="0"/>
              <w:right w:val="single" w:color="auto" w:sz="4" w:space="0"/>
            </w:tcBorders>
            <w:noWrap w:val="0"/>
            <w:vAlign w:val="center"/>
          </w:tcPr>
          <w:p w14:paraId="6F56D23B">
            <w:pPr>
              <w:jc w:val="center"/>
              <w:rPr>
                <w:rFonts w:hint="eastAsia" w:ascii="宋体" w:hAnsi="宋体" w:eastAsia="宋体" w:cs="宋体"/>
                <w:sz w:val="24"/>
                <w:szCs w:val="24"/>
                <w:lang w:val="en-US" w:eastAsia="zh-CN"/>
              </w:rPr>
            </w:pPr>
          </w:p>
        </w:tc>
        <w:tc>
          <w:tcPr>
            <w:tcW w:w="1650" w:type="dxa"/>
            <w:tcBorders>
              <w:top w:val="single" w:color="auto" w:sz="4" w:space="0"/>
              <w:left w:val="single" w:color="auto" w:sz="4" w:space="0"/>
              <w:bottom w:val="single" w:color="auto" w:sz="4" w:space="0"/>
              <w:right w:val="single" w:color="auto" w:sz="4" w:space="0"/>
            </w:tcBorders>
            <w:noWrap w:val="0"/>
            <w:vAlign w:val="center"/>
          </w:tcPr>
          <w:p w14:paraId="375BB7D3">
            <w:pPr>
              <w:jc w:val="center"/>
              <w:rPr>
                <w:rFonts w:hint="eastAsia" w:ascii="宋体" w:hAnsi="宋体" w:eastAsia="宋体" w:cs="宋体"/>
                <w:color w:val="auto"/>
                <w:kern w:val="0"/>
                <w:sz w:val="24"/>
                <w:szCs w:val="24"/>
                <w:vertAlign w:val="baseline"/>
                <w:lang w:val="en-US" w:eastAsia="zh-CN" w:bidi="ar"/>
              </w:rPr>
            </w:pPr>
            <w:r>
              <w:rPr>
                <w:rFonts w:hint="eastAsia" w:ascii="宋体" w:hAnsi="宋体" w:eastAsia="宋体" w:cs="宋体"/>
                <w:color w:val="auto"/>
                <w:kern w:val="0"/>
                <w:sz w:val="24"/>
                <w:szCs w:val="24"/>
                <w:vertAlign w:val="baseline"/>
                <w:lang w:val="en-US" w:eastAsia="zh-CN" w:bidi="ar"/>
              </w:rPr>
              <w:t>沉降观测</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01DB1517">
            <w:pPr>
              <w:jc w:val="center"/>
              <w:rPr>
                <w:rFonts w:hint="eastAsia" w:ascii="宋体" w:hAnsi="宋体" w:eastAsia="宋体" w:cs="宋体"/>
                <w:color w:val="auto"/>
                <w:kern w:val="0"/>
                <w:sz w:val="24"/>
                <w:szCs w:val="24"/>
                <w:vertAlign w:val="baseline"/>
                <w:lang w:val="en-US" w:eastAsia="zh-CN" w:bidi="ar"/>
              </w:rPr>
            </w:pPr>
            <w:r>
              <w:rPr>
                <w:rFonts w:hint="eastAsia" w:ascii="宋体" w:hAnsi="宋体" w:eastAsia="宋体" w:cs="宋体"/>
                <w:color w:val="auto"/>
                <w:kern w:val="0"/>
                <w:sz w:val="24"/>
                <w:szCs w:val="24"/>
                <w:vertAlign w:val="baseline"/>
                <w:lang w:val="en-US" w:eastAsia="zh-CN" w:bidi="ar"/>
              </w:rPr>
              <w:t>九</w:t>
            </w:r>
            <w:r>
              <w:rPr>
                <w:rFonts w:hint="eastAsia" w:ascii="宋体" w:hAnsi="宋体" w:eastAsia="宋体" w:cs="宋体"/>
                <w:color w:val="auto"/>
                <w:kern w:val="0"/>
                <w:sz w:val="24"/>
                <w:szCs w:val="24"/>
                <w:vertAlign w:val="baseline"/>
                <w:lang w:val="en-US" w:eastAsia="zh-CN" w:bidi="ar"/>
              </w:rPr>
              <w:t>次监测并出具监测成果</w:t>
            </w:r>
          </w:p>
        </w:tc>
        <w:tc>
          <w:tcPr>
            <w:tcW w:w="4300" w:type="dxa"/>
            <w:tcBorders>
              <w:top w:val="single" w:color="auto" w:sz="4" w:space="0"/>
              <w:left w:val="single" w:color="auto" w:sz="4" w:space="0"/>
              <w:bottom w:val="single" w:color="auto" w:sz="4" w:space="0"/>
              <w:right w:val="single" w:color="auto" w:sz="4" w:space="0"/>
            </w:tcBorders>
            <w:noWrap w:val="0"/>
            <w:vAlign w:val="center"/>
          </w:tcPr>
          <w:p w14:paraId="77A93735">
            <w:pPr>
              <w:jc w:val="left"/>
              <w:rPr>
                <w:rFonts w:hint="eastAsia" w:ascii="宋体" w:hAnsi="宋体" w:eastAsia="宋体" w:cs="宋体"/>
                <w:b w:val="0"/>
                <w:bCs w:val="0"/>
                <w:color w:val="auto"/>
                <w:kern w:val="0"/>
                <w:sz w:val="24"/>
                <w:szCs w:val="24"/>
                <w:vertAlign w:val="baseline"/>
                <w:lang w:val="en-US" w:eastAsia="zh-CN" w:bidi="ar"/>
              </w:rPr>
            </w:pPr>
            <w:r>
              <w:rPr>
                <w:rFonts w:hint="eastAsia" w:ascii="宋体" w:hAnsi="宋体" w:eastAsia="宋体" w:cs="宋体"/>
                <w:b w:val="0"/>
                <w:bCs w:val="0"/>
                <w:color w:val="auto"/>
                <w:kern w:val="0"/>
                <w:sz w:val="24"/>
                <w:szCs w:val="24"/>
                <w:vertAlign w:val="baseline"/>
                <w:lang w:val="en-US" w:eastAsia="zh-CN" w:bidi="ar"/>
              </w:rPr>
              <w:t>养殖车间、车间配套办公用房、修车库与杂物间、电房等共4栋建筑物沉降观测内容包括：</w:t>
            </w:r>
          </w:p>
          <w:p w14:paraId="0D096A35">
            <w:pPr>
              <w:jc w:val="left"/>
              <w:rPr>
                <w:rFonts w:hint="eastAsia" w:ascii="宋体" w:hAnsi="宋体" w:eastAsia="宋体" w:cs="宋体"/>
                <w:b w:val="0"/>
                <w:bCs w:val="0"/>
                <w:color w:val="auto"/>
                <w:kern w:val="0"/>
                <w:sz w:val="24"/>
                <w:szCs w:val="24"/>
                <w:vertAlign w:val="baseline"/>
                <w:lang w:val="en-US" w:eastAsia="zh-CN" w:bidi="ar"/>
              </w:rPr>
            </w:pPr>
            <w:r>
              <w:rPr>
                <w:rFonts w:hint="eastAsia" w:ascii="宋体" w:hAnsi="宋体" w:eastAsia="宋体" w:cs="宋体"/>
                <w:b w:val="0"/>
                <w:bCs w:val="0"/>
                <w:color w:val="auto"/>
                <w:kern w:val="0"/>
                <w:sz w:val="24"/>
                <w:szCs w:val="24"/>
                <w:vertAlign w:val="baseline"/>
                <w:lang w:val="en-US" w:eastAsia="zh-CN" w:bidi="ar"/>
              </w:rPr>
              <w:t>1.基准点、沉降点布设，暂定布置50个沉降观测点和3个基准点。</w:t>
            </w:r>
          </w:p>
          <w:p w14:paraId="43FAFDC5">
            <w:pPr>
              <w:jc w:val="left"/>
              <w:rPr>
                <w:rFonts w:hint="eastAsia" w:ascii="宋体" w:hAnsi="宋体" w:eastAsia="宋体" w:cs="宋体"/>
                <w:b w:val="0"/>
                <w:bCs w:val="0"/>
                <w:color w:val="auto"/>
                <w:kern w:val="0"/>
                <w:sz w:val="24"/>
                <w:szCs w:val="24"/>
                <w:vertAlign w:val="baseline"/>
                <w:lang w:val="en-US" w:eastAsia="zh-CN" w:bidi="ar"/>
              </w:rPr>
            </w:pPr>
            <w:r>
              <w:rPr>
                <w:rFonts w:hint="eastAsia" w:ascii="宋体" w:hAnsi="宋体" w:eastAsia="宋体" w:cs="宋体"/>
                <w:b w:val="0"/>
                <w:bCs w:val="0"/>
                <w:color w:val="auto"/>
                <w:kern w:val="0"/>
                <w:sz w:val="24"/>
                <w:szCs w:val="24"/>
                <w:vertAlign w:val="baseline"/>
                <w:lang w:val="en-US" w:eastAsia="zh-CN" w:bidi="ar"/>
              </w:rPr>
              <w:t>2.观测周期、次数及频率，观测周期6个月，第1～3个月按14天/1次的频率进行观测，第4～6个月按1个月/1次的频率进行观测，暂定观测9次。</w:t>
            </w:r>
          </w:p>
          <w:p w14:paraId="5F0681BF">
            <w:pPr>
              <w:jc w:val="left"/>
              <w:rPr>
                <w:rFonts w:hint="eastAsia" w:ascii="宋体" w:hAnsi="宋体" w:eastAsia="宋体" w:cs="宋体"/>
                <w:snapToGrid w:val="0"/>
                <w:color w:val="000000"/>
                <w:spacing w:val="-1"/>
                <w:sz w:val="24"/>
                <w:szCs w:val="24"/>
                <w:lang w:val="en-US" w:eastAsia="zh-CN" w:bidi="ar-SA"/>
              </w:rPr>
            </w:pPr>
            <w:r>
              <w:rPr>
                <w:rFonts w:hint="eastAsia" w:ascii="宋体" w:hAnsi="宋体" w:eastAsia="宋体" w:cs="宋体"/>
                <w:b w:val="0"/>
                <w:bCs w:val="0"/>
                <w:color w:val="auto"/>
                <w:kern w:val="0"/>
                <w:sz w:val="24"/>
                <w:szCs w:val="24"/>
                <w:vertAlign w:val="baseline"/>
                <w:lang w:val="en-US" w:eastAsia="zh-CN" w:bidi="ar"/>
              </w:rPr>
              <w:t>3.观测工作结束后出具沉降观测成果。</w:t>
            </w:r>
          </w:p>
        </w:tc>
        <w:tc>
          <w:tcPr>
            <w:tcW w:w="981" w:type="dxa"/>
            <w:tcBorders>
              <w:top w:val="single" w:color="auto" w:sz="4" w:space="0"/>
              <w:left w:val="single" w:color="auto" w:sz="4" w:space="0"/>
              <w:bottom w:val="single" w:color="auto" w:sz="4" w:space="0"/>
              <w:right w:val="single" w:color="auto" w:sz="4" w:space="0"/>
            </w:tcBorders>
            <w:noWrap w:val="0"/>
            <w:vAlign w:val="center"/>
          </w:tcPr>
          <w:p w14:paraId="6F1C6A3F">
            <w:pPr>
              <w:jc w:val="center"/>
              <w:rPr>
                <w:rFonts w:hint="eastAsia" w:ascii="宋体" w:hAnsi="宋体" w:eastAsia="宋体" w:cs="宋体"/>
                <w:snapToGrid w:val="0"/>
                <w:color w:val="000000"/>
                <w:spacing w:val="-1"/>
                <w:sz w:val="24"/>
                <w:szCs w:val="24"/>
                <w:lang w:val="en-US" w:eastAsia="zh-CN" w:bidi="ar-SA"/>
              </w:rPr>
            </w:pPr>
            <w:r>
              <w:rPr>
                <w:rFonts w:hint="eastAsia" w:ascii="宋体" w:hAnsi="宋体" w:eastAsia="宋体" w:cs="宋体"/>
                <w:snapToGrid w:val="0"/>
                <w:color w:val="000000"/>
                <w:spacing w:val="-1"/>
                <w:sz w:val="24"/>
                <w:szCs w:val="24"/>
                <w:lang w:val="en-US" w:eastAsia="zh-CN" w:bidi="ar-SA"/>
              </w:rPr>
              <w:t>6000㎡</w:t>
            </w:r>
          </w:p>
        </w:tc>
      </w:tr>
    </w:tbl>
    <w:p w14:paraId="2087725B">
      <w:pPr>
        <w:pStyle w:val="8"/>
        <w:spacing w:line="219" w:lineRule="auto"/>
        <w:jc w:val="both"/>
        <w:rPr>
          <w:rFonts w:hint="eastAsia" w:ascii="宋体" w:hAnsi="宋体" w:eastAsia="宋体" w:cs="宋体"/>
          <w:kern w:val="2"/>
          <w:sz w:val="28"/>
          <w:szCs w:val="28"/>
          <w:lang w:val="en-US" w:eastAsia="zh-CN" w:bidi="ar-SA"/>
        </w:rPr>
      </w:pPr>
    </w:p>
    <w:p w14:paraId="7CDC1DF6">
      <w:pPr>
        <w:pStyle w:val="9"/>
        <w:jc w:val="both"/>
        <w:rPr>
          <w:rFonts w:hint="eastAsia"/>
          <w:snapToGrid/>
          <w:lang w:val="en-US" w:eastAsia="zh-CN"/>
        </w:rPr>
      </w:pPr>
    </w:p>
    <w:p w14:paraId="25DFDA03">
      <w:pPr>
        <w:rPr>
          <w:rFonts w:hint="eastAsia"/>
          <w:lang w:val="en-US" w:eastAsia="zh-CN"/>
        </w:rPr>
      </w:pPr>
    </w:p>
    <w:sectPr>
      <w:footerReference r:id="rId5" w:type="default"/>
      <w:pgSz w:w="11906" w:h="16838"/>
      <w:pgMar w:top="1440" w:right="1800" w:bottom="1440" w:left="1800" w:header="851" w:footer="992" w:gutter="0"/>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21">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auto"/>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2098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29CBF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29CBF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0A5585"/>
    <w:multiLevelType w:val="singleLevel"/>
    <w:tmpl w:val="800A5585"/>
    <w:lvl w:ilvl="0" w:tentative="0">
      <w:start w:val="1"/>
      <w:numFmt w:val="chineseCounting"/>
      <w:suff w:val="nothing"/>
      <w:lvlText w:val="（%1）"/>
      <w:lvlJc w:val="left"/>
      <w:pPr>
        <w:ind w:left="0" w:firstLine="420"/>
      </w:pPr>
      <w:rPr>
        <w:rFonts w:hint="eastAsia"/>
      </w:rPr>
    </w:lvl>
  </w:abstractNum>
  <w:abstractNum w:abstractNumId="1">
    <w:nsid w:val="9A439844"/>
    <w:multiLevelType w:val="singleLevel"/>
    <w:tmpl w:val="9A439844"/>
    <w:lvl w:ilvl="0" w:tentative="0">
      <w:start w:val="1"/>
      <w:numFmt w:val="chineseCounting"/>
      <w:suff w:val="nothing"/>
      <w:lvlText w:val="（%1）"/>
      <w:lvlJc w:val="left"/>
      <w:pPr>
        <w:ind w:left="0" w:firstLine="420"/>
      </w:pPr>
      <w:rPr>
        <w:rFonts w:hint="eastAsia"/>
      </w:rPr>
    </w:lvl>
  </w:abstractNum>
  <w:abstractNum w:abstractNumId="2">
    <w:nsid w:val="B0A16A15"/>
    <w:multiLevelType w:val="singleLevel"/>
    <w:tmpl w:val="B0A16A15"/>
    <w:lvl w:ilvl="0" w:tentative="0">
      <w:start w:val="1"/>
      <w:numFmt w:val="decimal"/>
      <w:lvlText w:val="%1."/>
      <w:lvlJc w:val="left"/>
      <w:pPr>
        <w:tabs>
          <w:tab w:val="left" w:pos="312"/>
        </w:tabs>
      </w:pPr>
    </w:lvl>
  </w:abstractNum>
  <w:abstractNum w:abstractNumId="3">
    <w:nsid w:val="DD817727"/>
    <w:multiLevelType w:val="singleLevel"/>
    <w:tmpl w:val="DD817727"/>
    <w:lvl w:ilvl="0" w:tentative="0">
      <w:start w:val="1"/>
      <w:numFmt w:val="lowerLetter"/>
      <w:lvlText w:val="%1."/>
      <w:lvlJc w:val="left"/>
      <w:pPr>
        <w:tabs>
          <w:tab w:val="left" w:pos="312"/>
        </w:tabs>
      </w:pPr>
    </w:lvl>
  </w:abstractNum>
  <w:abstractNum w:abstractNumId="4">
    <w:nsid w:val="E1A5F052"/>
    <w:multiLevelType w:val="singleLevel"/>
    <w:tmpl w:val="E1A5F052"/>
    <w:lvl w:ilvl="0" w:tentative="0">
      <w:start w:val="1"/>
      <w:numFmt w:val="chineseCounting"/>
      <w:suff w:val="nothing"/>
      <w:lvlText w:val="（%1）"/>
      <w:lvlJc w:val="left"/>
      <w:pPr>
        <w:ind w:left="0" w:firstLine="420"/>
      </w:pPr>
      <w:rPr>
        <w:rFonts w:hint="eastAsia"/>
      </w:rPr>
    </w:lvl>
  </w:abstractNum>
  <w:abstractNum w:abstractNumId="5">
    <w:nsid w:val="F8C6D5BF"/>
    <w:multiLevelType w:val="singleLevel"/>
    <w:tmpl w:val="F8C6D5BF"/>
    <w:lvl w:ilvl="0" w:tentative="0">
      <w:start w:val="1"/>
      <w:numFmt w:val="chineseCounting"/>
      <w:suff w:val="nothing"/>
      <w:lvlText w:val="%1、"/>
      <w:lvlJc w:val="left"/>
      <w:pPr>
        <w:ind w:left="0" w:firstLine="420"/>
      </w:pPr>
      <w:rPr>
        <w:rFonts w:hint="eastAsia" w:ascii="仿宋_GB2312" w:hAnsi="仿宋_GB2312" w:eastAsia="仿宋_GB2312" w:cs="仿宋_GB2312"/>
        <w:b/>
        <w:bCs/>
      </w:rPr>
    </w:lvl>
  </w:abstractNum>
  <w:num w:numId="1">
    <w:abstractNumId w:val="5"/>
  </w:num>
  <w:num w:numId="2">
    <w:abstractNumId w:val="4"/>
  </w:num>
  <w:num w:numId="3">
    <w:abstractNumId w:val="0"/>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footnotePr>
    <w:footnote w:id="0"/>
    <w:footnote w:id="1"/>
  </w:footnotePr>
  <w:endnotePr>
    <w:endnote w:id="0"/>
    <w:endnote w:id="1"/>
  </w:endnotePr>
  <w:compat>
    <w:balanceSingleByteDoubleByteWidth/>
    <w:ulTrailSpace/>
    <w:doNotExpandShiftReturn/>
    <w:doNotWrapTextWithPunct/>
    <w:doNotUseEastAsianBreakRules/>
    <w:useFELayout/>
    <w:compatSetting w:name="compatibilityMode" w:uri="http://schemas.microsoft.com/office/word" w:val="16"/>
    <w:compatSetting w:name="overrideTableStyleFontSizeAndJustification" w:uri="http://schemas.microsoft.com/office/word" w:val="1"/>
  </w:compat>
  <w:rsids>
    <w:rsidRoot w:val="00000000"/>
    <w:rsid w:val="00D42ADB"/>
    <w:rsid w:val="013712F7"/>
    <w:rsid w:val="013D4366"/>
    <w:rsid w:val="01800398"/>
    <w:rsid w:val="01AC4C6D"/>
    <w:rsid w:val="022B2C0A"/>
    <w:rsid w:val="02554B80"/>
    <w:rsid w:val="02810A7C"/>
    <w:rsid w:val="032709C8"/>
    <w:rsid w:val="03AD331B"/>
    <w:rsid w:val="0419369A"/>
    <w:rsid w:val="042D70C2"/>
    <w:rsid w:val="04726210"/>
    <w:rsid w:val="04826C72"/>
    <w:rsid w:val="050D22BB"/>
    <w:rsid w:val="05CB02E3"/>
    <w:rsid w:val="06431F64"/>
    <w:rsid w:val="068976C4"/>
    <w:rsid w:val="06A63A1E"/>
    <w:rsid w:val="06B864DA"/>
    <w:rsid w:val="06CD0047"/>
    <w:rsid w:val="07414C7E"/>
    <w:rsid w:val="07AC659B"/>
    <w:rsid w:val="07D55A57"/>
    <w:rsid w:val="07E35D35"/>
    <w:rsid w:val="081B791A"/>
    <w:rsid w:val="0838088B"/>
    <w:rsid w:val="088D22D9"/>
    <w:rsid w:val="0926412B"/>
    <w:rsid w:val="09594B75"/>
    <w:rsid w:val="09F558AC"/>
    <w:rsid w:val="0A88660F"/>
    <w:rsid w:val="0ACE5AFD"/>
    <w:rsid w:val="0C644F23"/>
    <w:rsid w:val="0C9A224E"/>
    <w:rsid w:val="0CD413DD"/>
    <w:rsid w:val="0CE0055A"/>
    <w:rsid w:val="0D573220"/>
    <w:rsid w:val="0D5E197D"/>
    <w:rsid w:val="0D7102BB"/>
    <w:rsid w:val="0D9F467B"/>
    <w:rsid w:val="0E3863F6"/>
    <w:rsid w:val="0E727756"/>
    <w:rsid w:val="0EB540D3"/>
    <w:rsid w:val="0ED51137"/>
    <w:rsid w:val="0F2E38DE"/>
    <w:rsid w:val="1088747A"/>
    <w:rsid w:val="108F039F"/>
    <w:rsid w:val="110A3DFB"/>
    <w:rsid w:val="11835E33"/>
    <w:rsid w:val="12273E8C"/>
    <w:rsid w:val="12E326D0"/>
    <w:rsid w:val="14EA0703"/>
    <w:rsid w:val="14EF0CF0"/>
    <w:rsid w:val="155344FA"/>
    <w:rsid w:val="15B30AF5"/>
    <w:rsid w:val="15CB4977"/>
    <w:rsid w:val="15D1766F"/>
    <w:rsid w:val="161672D6"/>
    <w:rsid w:val="162E2871"/>
    <w:rsid w:val="164556D2"/>
    <w:rsid w:val="16487762"/>
    <w:rsid w:val="16AD4750"/>
    <w:rsid w:val="16E53451"/>
    <w:rsid w:val="16EC0C9C"/>
    <w:rsid w:val="17101C84"/>
    <w:rsid w:val="172A0249"/>
    <w:rsid w:val="173E6F21"/>
    <w:rsid w:val="17B46DA6"/>
    <w:rsid w:val="18582AC5"/>
    <w:rsid w:val="18602664"/>
    <w:rsid w:val="18AE5D21"/>
    <w:rsid w:val="19976592"/>
    <w:rsid w:val="1A253F8B"/>
    <w:rsid w:val="1A464F9E"/>
    <w:rsid w:val="1B6A7193"/>
    <w:rsid w:val="1B80591D"/>
    <w:rsid w:val="1B887C1D"/>
    <w:rsid w:val="1CC034CB"/>
    <w:rsid w:val="1CC31BD6"/>
    <w:rsid w:val="1CCA6B87"/>
    <w:rsid w:val="1D783F6A"/>
    <w:rsid w:val="1E827BFE"/>
    <w:rsid w:val="1EE86DBA"/>
    <w:rsid w:val="20131F16"/>
    <w:rsid w:val="20A011ED"/>
    <w:rsid w:val="20DD6C2F"/>
    <w:rsid w:val="21C93E23"/>
    <w:rsid w:val="2280765F"/>
    <w:rsid w:val="22A550D6"/>
    <w:rsid w:val="22C500B9"/>
    <w:rsid w:val="23943C60"/>
    <w:rsid w:val="23CB7976"/>
    <w:rsid w:val="2406574E"/>
    <w:rsid w:val="24441CE1"/>
    <w:rsid w:val="24466FD8"/>
    <w:rsid w:val="24B403E6"/>
    <w:rsid w:val="24E54687"/>
    <w:rsid w:val="25060918"/>
    <w:rsid w:val="25115838"/>
    <w:rsid w:val="253F4153"/>
    <w:rsid w:val="2601304C"/>
    <w:rsid w:val="2612692A"/>
    <w:rsid w:val="26874D10"/>
    <w:rsid w:val="27B9574A"/>
    <w:rsid w:val="27CE17BE"/>
    <w:rsid w:val="28085C2A"/>
    <w:rsid w:val="284571DE"/>
    <w:rsid w:val="286B34B1"/>
    <w:rsid w:val="28A460A4"/>
    <w:rsid w:val="28C56F68"/>
    <w:rsid w:val="28DA09B1"/>
    <w:rsid w:val="295C18A6"/>
    <w:rsid w:val="29A27B4A"/>
    <w:rsid w:val="29DF4157"/>
    <w:rsid w:val="29E0518F"/>
    <w:rsid w:val="29F55167"/>
    <w:rsid w:val="2A0135AA"/>
    <w:rsid w:val="2A1237E6"/>
    <w:rsid w:val="2A13446C"/>
    <w:rsid w:val="2A2E7A87"/>
    <w:rsid w:val="2A552AC6"/>
    <w:rsid w:val="2A8647FB"/>
    <w:rsid w:val="2A9203F3"/>
    <w:rsid w:val="2AB24C1A"/>
    <w:rsid w:val="2B2F3942"/>
    <w:rsid w:val="2B4C7985"/>
    <w:rsid w:val="2BA7612C"/>
    <w:rsid w:val="2BBC5BA3"/>
    <w:rsid w:val="2BEB1CF3"/>
    <w:rsid w:val="2C3342E6"/>
    <w:rsid w:val="2C612E67"/>
    <w:rsid w:val="2CDC4BBF"/>
    <w:rsid w:val="2D2E732D"/>
    <w:rsid w:val="2D732DDD"/>
    <w:rsid w:val="2D7D7F0E"/>
    <w:rsid w:val="2DBB27E5"/>
    <w:rsid w:val="2E176E8B"/>
    <w:rsid w:val="2E4E18AB"/>
    <w:rsid w:val="2E5D564A"/>
    <w:rsid w:val="2E953036"/>
    <w:rsid w:val="2F0232B1"/>
    <w:rsid w:val="2F0A2063"/>
    <w:rsid w:val="30917F49"/>
    <w:rsid w:val="30B64426"/>
    <w:rsid w:val="30E402A4"/>
    <w:rsid w:val="313A6116"/>
    <w:rsid w:val="3165340A"/>
    <w:rsid w:val="32041B05"/>
    <w:rsid w:val="32087FC3"/>
    <w:rsid w:val="322076ED"/>
    <w:rsid w:val="32637A6C"/>
    <w:rsid w:val="328B4E7C"/>
    <w:rsid w:val="32AF043E"/>
    <w:rsid w:val="32B800B5"/>
    <w:rsid w:val="335970BA"/>
    <w:rsid w:val="339F04B3"/>
    <w:rsid w:val="346A0A60"/>
    <w:rsid w:val="348B2B5C"/>
    <w:rsid w:val="364049F9"/>
    <w:rsid w:val="36DC3160"/>
    <w:rsid w:val="36E52680"/>
    <w:rsid w:val="3732290D"/>
    <w:rsid w:val="37A274CC"/>
    <w:rsid w:val="37B6497E"/>
    <w:rsid w:val="37C95FBA"/>
    <w:rsid w:val="380751D0"/>
    <w:rsid w:val="3862023B"/>
    <w:rsid w:val="393A1C46"/>
    <w:rsid w:val="39461AFC"/>
    <w:rsid w:val="3A016339"/>
    <w:rsid w:val="3AA51419"/>
    <w:rsid w:val="3ADE7262"/>
    <w:rsid w:val="3B7C6974"/>
    <w:rsid w:val="3BD35D09"/>
    <w:rsid w:val="3C597D99"/>
    <w:rsid w:val="3C5C5193"/>
    <w:rsid w:val="3D306724"/>
    <w:rsid w:val="3D3829F1"/>
    <w:rsid w:val="3D6A3662"/>
    <w:rsid w:val="3E592839"/>
    <w:rsid w:val="3E734A16"/>
    <w:rsid w:val="3E893897"/>
    <w:rsid w:val="3F6B234E"/>
    <w:rsid w:val="3F95733A"/>
    <w:rsid w:val="40E83499"/>
    <w:rsid w:val="40EE0EEF"/>
    <w:rsid w:val="40F938F8"/>
    <w:rsid w:val="41114D6F"/>
    <w:rsid w:val="4125322C"/>
    <w:rsid w:val="418807D8"/>
    <w:rsid w:val="42933225"/>
    <w:rsid w:val="42FB5880"/>
    <w:rsid w:val="439224FA"/>
    <w:rsid w:val="43EF4B3E"/>
    <w:rsid w:val="442125CF"/>
    <w:rsid w:val="44B03E8B"/>
    <w:rsid w:val="44E14D50"/>
    <w:rsid w:val="45124778"/>
    <w:rsid w:val="45266E38"/>
    <w:rsid w:val="452B4928"/>
    <w:rsid w:val="45591B1E"/>
    <w:rsid w:val="457B2B2E"/>
    <w:rsid w:val="45B47DEE"/>
    <w:rsid w:val="461546B6"/>
    <w:rsid w:val="46535859"/>
    <w:rsid w:val="469E0050"/>
    <w:rsid w:val="474B7FEF"/>
    <w:rsid w:val="49951AC7"/>
    <w:rsid w:val="49971F00"/>
    <w:rsid w:val="49CE6321"/>
    <w:rsid w:val="4A4F6337"/>
    <w:rsid w:val="4AB663B6"/>
    <w:rsid w:val="4AF40152"/>
    <w:rsid w:val="4B7519C8"/>
    <w:rsid w:val="4B967740"/>
    <w:rsid w:val="4C0C64EA"/>
    <w:rsid w:val="4C59524B"/>
    <w:rsid w:val="4C6406CA"/>
    <w:rsid w:val="4DE70FB6"/>
    <w:rsid w:val="4DEB6377"/>
    <w:rsid w:val="4E1F519D"/>
    <w:rsid w:val="4E41068C"/>
    <w:rsid w:val="4E497A3B"/>
    <w:rsid w:val="4E4A18B3"/>
    <w:rsid w:val="4E686288"/>
    <w:rsid w:val="4EAF5DA4"/>
    <w:rsid w:val="502304A5"/>
    <w:rsid w:val="50893D95"/>
    <w:rsid w:val="509E3FEA"/>
    <w:rsid w:val="50B74101"/>
    <w:rsid w:val="512C2CFB"/>
    <w:rsid w:val="519446F2"/>
    <w:rsid w:val="51BA7928"/>
    <w:rsid w:val="51CA216E"/>
    <w:rsid w:val="51D72D57"/>
    <w:rsid w:val="51E14DCF"/>
    <w:rsid w:val="51E32D51"/>
    <w:rsid w:val="51E44D8E"/>
    <w:rsid w:val="527C0957"/>
    <w:rsid w:val="52C024F1"/>
    <w:rsid w:val="52C8312A"/>
    <w:rsid w:val="53011BFC"/>
    <w:rsid w:val="53CD54EA"/>
    <w:rsid w:val="54234686"/>
    <w:rsid w:val="551C6100"/>
    <w:rsid w:val="551E5284"/>
    <w:rsid w:val="55885AAD"/>
    <w:rsid w:val="56644CAD"/>
    <w:rsid w:val="569F494B"/>
    <w:rsid w:val="575365CB"/>
    <w:rsid w:val="57782039"/>
    <w:rsid w:val="577E64AD"/>
    <w:rsid w:val="57DB0E60"/>
    <w:rsid w:val="5816663A"/>
    <w:rsid w:val="58240E03"/>
    <w:rsid w:val="5889491C"/>
    <w:rsid w:val="58C675A2"/>
    <w:rsid w:val="58D17048"/>
    <w:rsid w:val="5937393A"/>
    <w:rsid w:val="59467ABA"/>
    <w:rsid w:val="599F7D79"/>
    <w:rsid w:val="5A7B164E"/>
    <w:rsid w:val="5A8819AC"/>
    <w:rsid w:val="5AB67D0C"/>
    <w:rsid w:val="5B154FF4"/>
    <w:rsid w:val="5B4A632A"/>
    <w:rsid w:val="5B511B62"/>
    <w:rsid w:val="5B5B6DEC"/>
    <w:rsid w:val="5BF5087D"/>
    <w:rsid w:val="5CA2678B"/>
    <w:rsid w:val="5D4E550A"/>
    <w:rsid w:val="5F4B3119"/>
    <w:rsid w:val="5F4D50E3"/>
    <w:rsid w:val="5FF6025B"/>
    <w:rsid w:val="601C2C05"/>
    <w:rsid w:val="60602BF4"/>
    <w:rsid w:val="60B50C1E"/>
    <w:rsid w:val="60C05441"/>
    <w:rsid w:val="60F63558"/>
    <w:rsid w:val="612F779C"/>
    <w:rsid w:val="619C1998"/>
    <w:rsid w:val="61B03707"/>
    <w:rsid w:val="61F10CDA"/>
    <w:rsid w:val="62257C51"/>
    <w:rsid w:val="639D7CDB"/>
    <w:rsid w:val="64245B16"/>
    <w:rsid w:val="64587FD2"/>
    <w:rsid w:val="64695B2D"/>
    <w:rsid w:val="64B60B6A"/>
    <w:rsid w:val="651E0792"/>
    <w:rsid w:val="652E7D23"/>
    <w:rsid w:val="659D53C0"/>
    <w:rsid w:val="667E2026"/>
    <w:rsid w:val="66C67412"/>
    <w:rsid w:val="676B6F42"/>
    <w:rsid w:val="67902011"/>
    <w:rsid w:val="67FB06AE"/>
    <w:rsid w:val="68755F4F"/>
    <w:rsid w:val="695B03FD"/>
    <w:rsid w:val="696254EC"/>
    <w:rsid w:val="6A806C6B"/>
    <w:rsid w:val="6A837C0B"/>
    <w:rsid w:val="6A927DA5"/>
    <w:rsid w:val="6A9E40D9"/>
    <w:rsid w:val="6B16335A"/>
    <w:rsid w:val="6B67752D"/>
    <w:rsid w:val="6B76775F"/>
    <w:rsid w:val="6B8B77E1"/>
    <w:rsid w:val="6B8E4D79"/>
    <w:rsid w:val="6BBE14F0"/>
    <w:rsid w:val="6BF877C9"/>
    <w:rsid w:val="6C084091"/>
    <w:rsid w:val="6CB5516F"/>
    <w:rsid w:val="6CE36AAC"/>
    <w:rsid w:val="6D5A005B"/>
    <w:rsid w:val="6DEC3919"/>
    <w:rsid w:val="6E305180"/>
    <w:rsid w:val="6E4B16EE"/>
    <w:rsid w:val="6E571F50"/>
    <w:rsid w:val="6E9E6E93"/>
    <w:rsid w:val="6EDB600A"/>
    <w:rsid w:val="6F192FC7"/>
    <w:rsid w:val="6FE050A8"/>
    <w:rsid w:val="713C5D03"/>
    <w:rsid w:val="71461992"/>
    <w:rsid w:val="717E7B9E"/>
    <w:rsid w:val="71C1726B"/>
    <w:rsid w:val="72247F25"/>
    <w:rsid w:val="726B7AE7"/>
    <w:rsid w:val="72D80D10"/>
    <w:rsid w:val="732A1122"/>
    <w:rsid w:val="734844CC"/>
    <w:rsid w:val="735F6D3B"/>
    <w:rsid w:val="73FE6E48"/>
    <w:rsid w:val="742E7D48"/>
    <w:rsid w:val="745512DA"/>
    <w:rsid w:val="74D20D69"/>
    <w:rsid w:val="75073B03"/>
    <w:rsid w:val="75443467"/>
    <w:rsid w:val="75727DB2"/>
    <w:rsid w:val="757C700C"/>
    <w:rsid w:val="75986327"/>
    <w:rsid w:val="75D654DC"/>
    <w:rsid w:val="76840E8E"/>
    <w:rsid w:val="7693567A"/>
    <w:rsid w:val="76B40069"/>
    <w:rsid w:val="76DB492B"/>
    <w:rsid w:val="77CB2BF1"/>
    <w:rsid w:val="7835260B"/>
    <w:rsid w:val="784F55D0"/>
    <w:rsid w:val="78A23B1E"/>
    <w:rsid w:val="79992D84"/>
    <w:rsid w:val="79A73866"/>
    <w:rsid w:val="7A216481"/>
    <w:rsid w:val="7AA65250"/>
    <w:rsid w:val="7AB16449"/>
    <w:rsid w:val="7C02079E"/>
    <w:rsid w:val="7C5612C2"/>
    <w:rsid w:val="7CCB71F0"/>
    <w:rsid w:val="7D5D2456"/>
    <w:rsid w:val="7D622082"/>
    <w:rsid w:val="7D8C5F10"/>
    <w:rsid w:val="7E3F7141"/>
    <w:rsid w:val="7E4746A1"/>
    <w:rsid w:val="7E8E776C"/>
    <w:rsid w:val="7EC01C08"/>
    <w:rsid w:val="7ECE45E3"/>
    <w:rsid w:val="7F950F7F"/>
    <w:rsid w:val="7FA224A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iPriority="99"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beforeLines="0" w:after="0" w:afterLines="0" w:line="240" w:lineRule="auto"/>
      <w:jc w:val="both"/>
    </w:pPr>
    <w:rPr>
      <w:rFonts w:ascii="Calibri" w:hAnsi="Calibri" w:eastAsia="等线" w:cs="21"/>
      <w:sz w:val="22"/>
      <w:szCs w:val="22"/>
      <w:lang w:val="en-US" w:eastAsia="en-US" w:bidi="ar-SA"/>
    </w:rPr>
  </w:style>
  <w:style w:type="paragraph" w:styleId="2">
    <w:name w:val="heading 1"/>
    <w:basedOn w:val="1"/>
    <w:next w:val="1"/>
    <w:link w:val="22"/>
    <w:qFormat/>
    <w:uiPriority w:val="9"/>
    <w:pPr>
      <w:keepNext/>
      <w:keepLines/>
      <w:spacing w:before="480"/>
      <w:outlineLvl w:val="0"/>
    </w:pPr>
    <w:rPr>
      <w:rFonts w:asciiTheme="majorHAnsi" w:hAnsiTheme="majorHAnsi" w:eastAsiaTheme="majorEastAsia" w:cstheme="majorBidi"/>
      <w:b/>
      <w:bCs/>
      <w:color w:val="000000"/>
      <w:sz w:val="28"/>
      <w:szCs w:val="28"/>
    </w:rPr>
  </w:style>
  <w:style w:type="paragraph" w:styleId="3">
    <w:name w:val="heading 2"/>
    <w:basedOn w:val="1"/>
    <w:next w:val="1"/>
    <w:link w:val="23"/>
    <w:unhideWhenUsed/>
    <w:qFormat/>
    <w:uiPriority w:val="9"/>
    <w:pPr>
      <w:keepNext/>
      <w:keepLines/>
      <w:spacing w:before="200"/>
      <w:outlineLvl w:val="1"/>
    </w:pPr>
    <w:rPr>
      <w:rFonts w:asciiTheme="majorHAnsi" w:hAnsiTheme="majorHAnsi" w:eastAsiaTheme="majorEastAsia" w:cstheme="majorBidi"/>
      <w:b/>
      <w:bCs/>
      <w:color w:val="000000"/>
      <w:sz w:val="26"/>
      <w:szCs w:val="26"/>
    </w:rPr>
  </w:style>
  <w:style w:type="paragraph" w:styleId="4">
    <w:name w:val="heading 3"/>
    <w:basedOn w:val="1"/>
    <w:next w:val="1"/>
    <w:link w:val="24"/>
    <w:unhideWhenUsed/>
    <w:qFormat/>
    <w:uiPriority w:val="9"/>
    <w:pPr>
      <w:keepNext/>
      <w:keepLines/>
      <w:spacing w:before="200"/>
      <w:outlineLvl w:val="2"/>
    </w:pPr>
    <w:rPr>
      <w:rFonts w:asciiTheme="majorHAnsi" w:hAnsiTheme="majorHAnsi" w:eastAsiaTheme="majorEastAsia" w:cstheme="majorBidi"/>
      <w:b/>
      <w:bCs/>
      <w:color w:val="000000"/>
    </w:rPr>
  </w:style>
  <w:style w:type="paragraph" w:styleId="5">
    <w:name w:val="heading 4"/>
    <w:basedOn w:val="1"/>
    <w:next w:val="1"/>
    <w:link w:val="25"/>
    <w:unhideWhenUsed/>
    <w:qFormat/>
    <w:uiPriority w:val="9"/>
    <w:pPr>
      <w:keepNext/>
      <w:keepLines/>
      <w:spacing w:before="200"/>
      <w:outlineLvl w:val="3"/>
    </w:pPr>
    <w:rPr>
      <w:rFonts w:asciiTheme="majorHAnsi" w:hAnsiTheme="majorHAnsi" w:eastAsiaTheme="majorEastAsia" w:cstheme="majorBidi"/>
      <w:b/>
      <w:bCs/>
      <w:color w:val="000000"/>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99"/>
    <w:pPr>
      <w:ind w:left="720"/>
    </w:pPr>
  </w:style>
  <w:style w:type="paragraph" w:styleId="7">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8">
    <w:name w:val="Body Text"/>
    <w:basedOn w:val="1"/>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9">
    <w:name w:val="Plain Text"/>
    <w:basedOn w:val="1"/>
    <w:qFormat/>
    <w:uiPriority w:val="0"/>
    <w:rPr>
      <w:rFonts w:ascii="宋体" w:hAnsi="Courier New" w:eastAsia="宋体" w:cs="Courier New"/>
      <w:szCs w:val="21"/>
    </w:rPr>
  </w:style>
  <w:style w:type="paragraph" w:styleId="10">
    <w:name w:val="footer"/>
    <w:basedOn w:val="1"/>
    <w:semiHidden/>
    <w:unhideWhenUsed/>
    <w:qFormat/>
    <w:uiPriority w:val="99"/>
    <w:pPr>
      <w:tabs>
        <w:tab w:val="center" w:pos="4153"/>
        <w:tab w:val="right" w:pos="8306"/>
      </w:tabs>
      <w:snapToGrid w:val="0"/>
      <w:jc w:val="left"/>
    </w:pPr>
    <w:rPr>
      <w:sz w:val="18"/>
    </w:rPr>
  </w:style>
  <w:style w:type="paragraph" w:styleId="11">
    <w:name w:val="header"/>
    <w:basedOn w:val="1"/>
    <w:link w:val="21"/>
    <w:unhideWhenUsed/>
    <w:qFormat/>
    <w:uiPriority w:val="99"/>
    <w:pPr>
      <w:tabs>
        <w:tab w:val="center" w:pos="4680"/>
        <w:tab w:val="right" w:pos="9360"/>
      </w:tabs>
    </w:pPr>
  </w:style>
  <w:style w:type="paragraph" w:styleId="12">
    <w:name w:val="Subtitle"/>
    <w:basedOn w:val="1"/>
    <w:next w:val="1"/>
    <w:link w:val="26"/>
    <w:qFormat/>
    <w:uiPriority w:val="11"/>
    <w:pPr>
      <w:ind w:left="86"/>
    </w:pPr>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3">
    <w:name w:val="Normal (Web)"/>
    <w:basedOn w:val="1"/>
    <w:semiHidden/>
    <w:unhideWhenUsed/>
    <w:qFormat/>
    <w:uiPriority w:val="99"/>
    <w:rPr>
      <w:sz w:val="24"/>
    </w:rPr>
  </w:style>
  <w:style w:type="paragraph" w:styleId="14">
    <w:name w:val="Title"/>
    <w:basedOn w:val="1"/>
    <w:next w:val="1"/>
    <w:link w:val="27"/>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table" w:styleId="16">
    <w:name w:val="Table Grid"/>
    <w:basedOn w:val="15"/>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8">
    <w:name w:val="Strong"/>
    <w:basedOn w:val="17"/>
    <w:semiHidden/>
    <w:unhideWhenUsed/>
    <w:qFormat/>
    <w:uiPriority w:val="99"/>
    <w:rPr>
      <w:b/>
    </w:rPr>
  </w:style>
  <w:style w:type="character" w:styleId="19">
    <w:name w:val="Emphasis"/>
    <w:basedOn w:val="17"/>
    <w:qFormat/>
    <w:uiPriority w:val="20"/>
    <w:rPr>
      <w:i/>
      <w:iCs/>
    </w:rPr>
  </w:style>
  <w:style w:type="character" w:styleId="20">
    <w:name w:val="Hyperlink"/>
    <w:basedOn w:val="17"/>
    <w:unhideWhenUsed/>
    <w:qFormat/>
    <w:uiPriority w:val="99"/>
    <w:rPr>
      <w:color w:val="0000FF" w:themeColor="hyperlink"/>
      <w:u w:val="single"/>
      <w14:textFill>
        <w14:solidFill>
          <w14:schemeClr w14:val="hlink"/>
        </w14:solidFill>
      </w14:textFill>
    </w:rPr>
  </w:style>
  <w:style w:type="character" w:customStyle="1" w:styleId="21">
    <w:name w:val="Header Char"/>
    <w:basedOn w:val="17"/>
    <w:link w:val="11"/>
    <w:qFormat/>
    <w:uiPriority w:val="99"/>
  </w:style>
  <w:style w:type="character" w:customStyle="1" w:styleId="22">
    <w:name w:val="Heading 1 Char"/>
    <w:basedOn w:val="17"/>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23">
    <w:name w:val="Heading 2 Char"/>
    <w:basedOn w:val="17"/>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24">
    <w:name w:val="Heading 3 Char"/>
    <w:basedOn w:val="17"/>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25">
    <w:name w:val="Heading 4 Char"/>
    <w:basedOn w:val="17"/>
    <w:link w:val="5"/>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26">
    <w:name w:val="Subtitle Char"/>
    <w:basedOn w:val="17"/>
    <w:link w:val="1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27">
    <w:name w:val="Title Char"/>
    <w:basedOn w:val="17"/>
    <w:link w:val="14"/>
    <w:qFormat/>
    <w:uiPriority w:val="10"/>
    <w:rPr>
      <w:rFonts w:asciiTheme="majorHAnsi" w:hAnsiTheme="majorHAnsi" w:eastAsiaTheme="majorEastAsia" w:cstheme="majorBidi"/>
      <w:color w:val="17375E" w:themeColor="text2" w:themeShade="BF"/>
      <w:spacing w:val="5"/>
      <w:kern w:val="28"/>
      <w:sz w:val="52"/>
      <w:szCs w:val="52"/>
    </w:rPr>
  </w:style>
  <w:style w:type="paragraph" w:customStyle="1" w:styleId="28">
    <w:name w:val=" Char"/>
    <w:basedOn w:val="1"/>
    <w:next w:val="1"/>
    <w:qFormat/>
    <w:uiPriority w:val="0"/>
    <w:pPr>
      <w:autoSpaceDE w:val="0"/>
      <w:autoSpaceDN w:val="0"/>
      <w:adjustRightInd w:val="0"/>
      <w:snapToGrid w:val="0"/>
      <w:spacing w:before="50" w:after="50" w:line="360" w:lineRule="auto"/>
      <w:ind w:firstLine="560" w:firstLineChars="200"/>
    </w:pPr>
    <w:rPr>
      <w:rFonts w:eastAsia="仿宋_GB2312"/>
      <w:color w:val="000000"/>
      <w:sz w:val="24"/>
    </w:rPr>
  </w:style>
  <w:style w:type="paragraph" w:customStyle="1" w:styleId="29">
    <w:name w:val="正文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
    <w:name w:val="Table Text"/>
    <w:basedOn w:val="1"/>
    <w:uiPriority w:val="0"/>
    <w:rPr>
      <w:rFonts w:ascii="宋体" w:hAnsi="宋体" w:eastAsia="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2428d8cd-e42b-440b-a6be-927ee4709fdc</errorID>
      <errorWord>：</errorWord>
      <group>L1_Punc</group>
      <groupName>标点问题</groupName>
      <ability>L2_Punc_CN</ability>
      <abilityName>标点符号问题</abilityName>
      <candidateList>
        <item/>
      </candidateList>
      <explain/>
      <paraID>3CAD2203</paraID>
      <start>125</start>
      <end>126</end>
      <status>unmodified</status>
      <modifiedWord/>
      <trackRevisions>false</trackRevisions>
    </reviewItem>
    <reviewItem>
      <errorID>3eeb56d6-712f-4df9-aff0-819d6580162c</errorID>
      <errorWord>检测点位</errorWord>
      <group>L1_Knowledge</group>
      <groupName>知识性问题</groupName>
      <ability>L2_Term</ability>
      <abilityName>专业术语</abilityName>
      <candidateList>
        <item>监测点位</item>
      </candidateList>
      <explain/>
      <paraID>657BAFB4</paraID>
      <start>58</start>
      <end>62</end>
      <status>unmodified</status>
      <modifiedWord/>
      <trackRevisions>false</trackRevisions>
    </reviewItem>
    <reviewItem>
      <errorID>f63a8359-7b68-4137-a6e7-e21fb343e0d7</errorID>
      <errorWord>及</errorWord>
      <group>L1_Word</group>
      <groupName>字词问题</groupName>
      <ability>L2_Typo</ability>
      <abilityName>字词错误</abilityName>
      <candidateList>
        <item>和</item>
      </candidateList>
      <explain/>
      <paraID>7BB806F8</paraID>
      <start>51</start>
      <end>52</end>
      <status>unmodified</status>
      <modifiedWord/>
      <trackRevisions>false</trackRevisions>
    </reviewItem>
    <reviewItem>
      <errorID>16404b94-d140-41fd-a998-dd6d311df906</errorID>
      <errorWord>等全部</errorWord>
      <group>L1_Grammar</group>
      <groupName>语法问题</groupName>
      <ability>L2_Grammar</ability>
      <abilityName>语法错误</abilityName>
      <candidateList>
        <item>等</item>
      </candidateList>
      <explain/>
      <paraID>5E22A068</paraID>
      <start>24</start>
      <end>27</end>
      <status>unmodified</status>
      <modifiedWord/>
      <trackRevisions>false</trackRevisions>
    </reviewItem>
    <reviewItem>
      <errorID>facee1ef-dc7c-484e-8ae3-df966f6efe43</errorID>
      <errorWord>：</errorWord>
      <group>L1_Punc</group>
      <groupName>标点问题</groupName>
      <ability>L2_Punc_CN</ability>
      <abilityName>标点符号问题</abilityName>
      <candidateList>
        <item/>
      </candidateList>
      <explain/>
      <paraID>714F1070</paraID>
      <start>42</start>
      <end>43</end>
      <status>unmodified</status>
      <modifiedWord/>
      <trackRevisions>false</trackRevisions>
    </reviewItem>
    <reviewItem>
      <errorID>ac1701d7-f2f4-49ba-8aa2-d84cb38f2f49</errorID>
      <errorWord>(</errorWord>
      <group>L1_Format</group>
      <groupName>格式问题</groupName>
      <ability>L2_HalfPunc_CN</ability>
      <abilityName>全半角问题</abilityName>
      <candidateList>
        <item>（</item>
      </candidateList>
      <explain>文本全半角错误。</explain>
      <paraID>57F27C4E</paraID>
      <start>76</start>
      <end>77</end>
      <status>modified</status>
      <modifiedWord>（</modifiedWord>
      <trackRevisions>false</trackRevisions>
    </reviewItem>
    <reviewItem>
      <errorID>8d325ad5-c266-4cd0-bfd7-c7198e4d65f2</errorID>
      <errorWord>）；</errorWord>
      <group>L1_Punc</group>
      <groupName>标点问题</groupName>
      <ability>L2_Punc_CN</ability>
      <abilityName>标点符号问题</abilityName>
      <candidateList>
        <item>。</item>
      </candidateList>
      <explain/>
      <paraID> A1D058E</paraID>
      <start>84</start>
      <end>86</end>
      <status>unmodified</status>
      <modifiedWord/>
      <trackRevisions>false</trackRevisions>
    </reviewItem>
    <reviewItem>
      <errorID>3f640f35-aae4-4383-9257-6cddcb15e45f</errorID>
      <errorWord>可靠性进行</errorWord>
      <group>L1_Grammar</group>
      <groupName>语法问题</groupName>
      <ability>L2_Grammar</ability>
      <abilityName>语法错误</abilityName>
      <candidateList>
        <item>可靠性</item>
      </candidateList>
      <explain/>
      <paraID>64182A6C</paraID>
      <start>17</start>
      <end>22</end>
      <status>unmodified</status>
      <modifiedWord/>
      <trackRevisions>false</trackRevisions>
    </reviewItem>
    <reviewItem>
      <errorID>a8edf825-7945-4fea-afd0-b6f8b53a43f6</errorID>
      <errorWord>6000㎡</errorWord>
      <group>L1_Other</group>
      <groupName>其他问题</groupName>
      <ability>L2_Consistency</ability>
      <abilityName>一致性检查</abilityName>
      <candidateList>
        <item>5940.2㎡</item>
      </candidateList>
      <explain>数字一致性错误，前文明确该项目总检测鉴定面积为5940.2㎡，此处沉降观测对应的面积数字不一致</explain>
      <paraID>6F1C6A3F</paraID>
      <start>0</start>
      <end>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866796-3089-4150-819e-0535e4363f56}">
  <ds:schemaRefs/>
</ds:datastoreItem>
</file>

<file path=docProps/app.xml><?xml version="1.0" encoding="utf-8"?>
<Properties xmlns="http://schemas.openxmlformats.org/officeDocument/2006/extended-properties" xmlns:vt="http://schemas.openxmlformats.org/officeDocument/2006/docPropsVTypes">
  <Pages>8</Pages>
  <Words>3446</Words>
  <Characters>3551</Characters>
  <TotalTime>2</TotalTime>
  <ScaleCrop>false</ScaleCrop>
  <LinksUpToDate>false</LinksUpToDate>
  <CharactersWithSpaces>3566</CharactersWithSpaces>
  <Application>WPS Office_12.1.0.28792_F1E327BC-269C-435d-A152-05C5408002CA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2026-07-30T03:17:00Z</dcterms:created>
  <dc:creator>M</dc:creator>
  <cp:lastModifiedBy>依仪倚亿</cp:lastModifiedBy>
  <cp:lastPrinted>2026-08-26T09:03:00Z</cp:lastPrinted>
  <dcterms:modified xsi:type="dcterms:W3CDTF">2026-09-23T01:29:44Z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71828325531D4B0E9CB35406262A1C64_13</vt:lpwstr>
  </property>
  <property fmtid="{D5CDD505-2E9C-101B-9397-08002B2CF9AE}" pid="4" name="KSOTemplateDocerSaveRecord">
    <vt:lpwstr>eyJoZGlkIjoiYTg5NDhlM2RmZmQ5NjdjODJmZDNlY2U5YmRmYmE5MTMiLCJ1c2VySWQiOiIxMTA2MzQxODAxIn0=</vt:lpwstr>
  </property>
</Properties>
</file>