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9D9AA">
      <w:pPr>
        <w:pStyle w:val="40"/>
        <w:shd w:val="clear" w:color="auto" w:fill="auto"/>
        <w:ind w:firstLine="480"/>
        <w:rPr>
          <w:color w:val="auto"/>
          <w:highlight w:val="none"/>
        </w:rPr>
      </w:pPr>
      <w:bookmarkStart w:id="0" w:name="_Toc497833884"/>
      <w:bookmarkStart w:id="1" w:name="_Toc355879665"/>
    </w:p>
    <w:p w14:paraId="647BFE82">
      <w:pPr>
        <w:numPr>
          <w:ilvl w:val="0"/>
          <w:numId w:val="0"/>
        </w:numPr>
        <w:shd w:val="clear" w:color="auto" w:fill="auto"/>
        <w:snapToGrid w:val="0"/>
        <w:spacing w:line="360" w:lineRule="auto"/>
        <w:jc w:val="center"/>
        <w:outlineLvl w:val="0"/>
        <w:rPr>
          <w:rFonts w:hint="eastAsia"/>
          <w:b/>
          <w:bCs/>
          <w:color w:val="auto"/>
          <w:sz w:val="36"/>
          <w:szCs w:val="36"/>
          <w:highlight w:val="none"/>
        </w:rPr>
      </w:pPr>
      <w:bookmarkStart w:id="2" w:name="_Toc16847591"/>
      <w:r>
        <w:rPr>
          <w:rFonts w:hint="eastAsia"/>
          <w:b/>
          <w:bCs/>
          <w:color w:val="auto"/>
          <w:sz w:val="36"/>
          <w:szCs w:val="36"/>
          <w:highlight w:val="none"/>
        </w:rPr>
        <w:t>合同条款</w:t>
      </w:r>
      <w:bookmarkEnd w:id="2"/>
    </w:p>
    <w:p w14:paraId="17D91FD8">
      <w:pPr>
        <w:numPr>
          <w:ilvl w:val="0"/>
          <w:numId w:val="0"/>
        </w:numPr>
        <w:shd w:val="clear" w:color="auto" w:fill="auto"/>
        <w:snapToGrid w:val="0"/>
        <w:spacing w:line="360" w:lineRule="auto"/>
        <w:jc w:val="center"/>
        <w:outlineLvl w:val="0"/>
        <w:rPr>
          <w:rFonts w:hint="eastAsia"/>
          <w:b/>
          <w:bCs/>
          <w:color w:val="auto"/>
          <w:sz w:val="30"/>
          <w:szCs w:val="30"/>
          <w:highlight w:val="none"/>
        </w:rPr>
      </w:pPr>
    </w:p>
    <w:p w14:paraId="4AA346D8">
      <w:pPr>
        <w:numPr>
          <w:ilvl w:val="0"/>
          <w:numId w:val="0"/>
        </w:numPr>
        <w:shd w:val="clear" w:color="auto" w:fill="auto"/>
        <w:snapToGrid w:val="0"/>
        <w:spacing w:line="360" w:lineRule="auto"/>
        <w:jc w:val="center"/>
        <w:outlineLvl w:val="0"/>
        <w:rPr>
          <w:rFonts w:hint="eastAsia"/>
          <w:b/>
          <w:bCs/>
          <w:color w:val="auto"/>
          <w:sz w:val="30"/>
          <w:szCs w:val="30"/>
          <w:highlight w:val="none"/>
        </w:rPr>
      </w:pPr>
    </w:p>
    <w:p w14:paraId="16479BFC">
      <w:pPr>
        <w:numPr>
          <w:ilvl w:val="0"/>
          <w:numId w:val="0"/>
        </w:numPr>
        <w:shd w:val="clear" w:color="auto" w:fill="auto"/>
        <w:snapToGrid w:val="0"/>
        <w:spacing w:line="360" w:lineRule="auto"/>
        <w:jc w:val="center"/>
        <w:outlineLvl w:val="0"/>
        <w:rPr>
          <w:rFonts w:hint="eastAsia"/>
          <w:b/>
          <w:bCs/>
          <w:color w:val="auto"/>
          <w:sz w:val="30"/>
          <w:szCs w:val="30"/>
          <w:highlight w:val="none"/>
        </w:rPr>
      </w:pPr>
    </w:p>
    <w:p w14:paraId="4E9CD6A0">
      <w:pPr>
        <w:shd w:val="clear" w:color="auto" w:fill="auto"/>
        <w:spacing w:line="480" w:lineRule="auto"/>
        <w:ind w:left="420" w:leftChars="200"/>
        <w:jc w:val="center"/>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三水区互联网医疗服务平台运营服务</w:t>
      </w:r>
    </w:p>
    <w:p w14:paraId="2702B564">
      <w:pPr>
        <w:shd w:val="clear" w:color="auto" w:fill="auto"/>
        <w:spacing w:line="480" w:lineRule="auto"/>
        <w:ind w:left="420" w:leftChars="200"/>
        <w:jc w:val="center"/>
        <w:rPr>
          <w:rFonts w:hint="eastAsia" w:ascii="宋体" w:hAnsi="宋体" w:eastAsia="宋体" w:cs="宋体"/>
          <w:b/>
          <w:bCs/>
          <w:color w:val="auto"/>
          <w:sz w:val="44"/>
          <w:szCs w:val="44"/>
          <w:highlight w:val="none"/>
          <w:lang w:eastAsia="zh-CN"/>
        </w:rPr>
      </w:pPr>
    </w:p>
    <w:p w14:paraId="5009380B">
      <w:pPr>
        <w:shd w:val="clear" w:color="auto" w:fill="auto"/>
        <w:spacing w:line="480" w:lineRule="auto"/>
        <w:ind w:left="420" w:leftChars="200"/>
        <w:jc w:val="center"/>
        <w:rPr>
          <w:rFonts w:hint="default"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lang w:eastAsia="zh-CN"/>
        </w:rPr>
        <w:t>合同</w:t>
      </w:r>
      <w:r>
        <w:rPr>
          <w:rFonts w:hint="eastAsia" w:ascii="宋体" w:hAnsi="宋体" w:eastAsia="宋体" w:cs="宋体"/>
          <w:b/>
          <w:bCs/>
          <w:color w:val="auto"/>
          <w:sz w:val="44"/>
          <w:szCs w:val="44"/>
          <w:highlight w:val="none"/>
          <w:lang w:val="en-US" w:eastAsia="zh-CN"/>
        </w:rPr>
        <w:t>书</w:t>
      </w:r>
    </w:p>
    <w:p w14:paraId="415515E5">
      <w:pPr>
        <w:shd w:val="clear" w:color="auto" w:fill="auto"/>
        <w:spacing w:line="360" w:lineRule="auto"/>
        <w:ind w:left="420" w:leftChars="200"/>
        <w:jc w:val="center"/>
        <w:rPr>
          <w:rFonts w:hint="eastAsia" w:ascii="宋体" w:hAnsi="宋体" w:eastAsia="宋体" w:cs="宋体"/>
          <w:color w:val="auto"/>
          <w:sz w:val="21"/>
          <w:szCs w:val="21"/>
          <w:highlight w:val="none"/>
          <w:lang w:eastAsia="zh-CN"/>
        </w:rPr>
      </w:pPr>
    </w:p>
    <w:p w14:paraId="75D7F915">
      <w:pPr>
        <w:shd w:val="clear" w:color="auto" w:fill="auto"/>
        <w:spacing w:line="360" w:lineRule="auto"/>
        <w:ind w:left="420" w:leftChars="20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eastAsia="zh-CN"/>
        </w:rPr>
        <w:t>（项目编号：</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w:t>
      </w:r>
    </w:p>
    <w:p w14:paraId="04851B3B">
      <w:pPr>
        <w:pStyle w:val="14"/>
        <w:shd w:val="clear" w:color="auto" w:fill="auto"/>
        <w:jc w:val="both"/>
        <w:rPr>
          <w:rFonts w:hint="eastAsia"/>
          <w:color w:val="auto"/>
          <w:highlight w:val="none"/>
          <w:lang w:eastAsia="zh-CN"/>
        </w:rPr>
      </w:pPr>
    </w:p>
    <w:p w14:paraId="05285D6A">
      <w:pPr>
        <w:shd w:val="clear" w:color="auto" w:fill="auto"/>
        <w:spacing w:line="360" w:lineRule="auto"/>
        <w:ind w:left="420" w:leftChars="200"/>
        <w:jc w:val="center"/>
        <w:rPr>
          <w:rFonts w:hint="eastAsia" w:ascii="宋体" w:hAnsi="宋体" w:eastAsia="宋体" w:cs="宋体"/>
          <w:color w:val="auto"/>
          <w:sz w:val="21"/>
          <w:szCs w:val="21"/>
          <w:highlight w:val="none"/>
          <w:lang w:eastAsia="zh-CN"/>
        </w:rPr>
      </w:pPr>
    </w:p>
    <w:tbl>
      <w:tblPr>
        <w:tblStyle w:val="144"/>
        <w:tblW w:w="7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03"/>
        <w:gridCol w:w="5536"/>
      </w:tblGrid>
      <w:tr w14:paraId="42CA2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2303" w:type="dxa"/>
            <w:tcBorders>
              <w:right w:val="single" w:color="000000" w:sz="2" w:space="0"/>
            </w:tcBorders>
            <w:noWrap w:val="0"/>
            <w:vAlign w:val="top"/>
          </w:tcPr>
          <w:p w14:paraId="16816DAD">
            <w:pPr>
              <w:shd w:val="clear" w:color="auto" w:fill="auto"/>
              <w:spacing w:before="118" w:line="183" w:lineRule="auto"/>
              <w:ind w:firstLine="238"/>
              <w:rPr>
                <w:rFonts w:ascii="宋体" w:hAnsi="宋体" w:eastAsia="宋体" w:cs="宋体"/>
                <w:color w:val="auto"/>
                <w:sz w:val="23"/>
                <w:szCs w:val="23"/>
                <w:highlight w:val="none"/>
              </w:rPr>
            </w:pPr>
            <w:r>
              <w:rPr>
                <w:rFonts w:ascii="宋体" w:hAnsi="宋体" w:eastAsia="宋体" w:cs="宋体"/>
                <w:color w:val="auto"/>
                <w:spacing w:val="-19"/>
                <w:sz w:val="23"/>
                <w:szCs w:val="23"/>
                <w:highlight w:val="none"/>
              </w:rPr>
              <w:t>甲</w:t>
            </w:r>
            <w:r>
              <w:rPr>
                <w:rFonts w:ascii="宋体" w:hAnsi="宋体" w:eastAsia="宋体" w:cs="宋体"/>
                <w:color w:val="auto"/>
                <w:spacing w:val="35"/>
                <w:sz w:val="23"/>
                <w:szCs w:val="23"/>
                <w:highlight w:val="none"/>
              </w:rPr>
              <w:t xml:space="preserve">  </w:t>
            </w:r>
            <w:r>
              <w:rPr>
                <w:rFonts w:ascii="宋体" w:hAnsi="宋体" w:eastAsia="宋体" w:cs="宋体"/>
                <w:color w:val="auto"/>
                <w:spacing w:val="-19"/>
                <w:sz w:val="23"/>
                <w:szCs w:val="23"/>
                <w:highlight w:val="none"/>
              </w:rPr>
              <w:t>方：</w:t>
            </w:r>
          </w:p>
        </w:tc>
        <w:tc>
          <w:tcPr>
            <w:tcW w:w="5536" w:type="dxa"/>
            <w:noWrap w:val="0"/>
            <w:vAlign w:val="top"/>
          </w:tcPr>
          <w:p w14:paraId="32403281">
            <w:pPr>
              <w:shd w:val="clear" w:color="auto" w:fill="auto"/>
              <w:spacing w:before="106" w:line="183" w:lineRule="auto"/>
              <w:ind w:firstLine="210" w:firstLineChars="100"/>
              <w:rPr>
                <w:rFonts w:ascii="宋体" w:hAnsi="宋体" w:eastAsia="宋体" w:cs="宋体"/>
                <w:color w:val="auto"/>
                <w:sz w:val="23"/>
                <w:szCs w:val="23"/>
                <w:highlight w:val="none"/>
              </w:rPr>
            </w:pPr>
            <w:r>
              <w:rPr>
                <w:rFonts w:hint="eastAsia" w:ascii="宋体" w:hAnsi="宋体" w:eastAsia="宋体" w:cs="宋体"/>
                <w:color w:val="auto"/>
                <w:sz w:val="21"/>
                <w:szCs w:val="21"/>
                <w:highlight w:val="none"/>
                <w:u w:val="single"/>
                <w:lang w:eastAsia="zh-CN"/>
              </w:rPr>
              <w:t>广东宏益健康产业投资有限公司</w:t>
            </w:r>
          </w:p>
        </w:tc>
      </w:tr>
      <w:tr w14:paraId="3575F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2303" w:type="dxa"/>
            <w:tcBorders>
              <w:right w:val="single" w:color="000000" w:sz="2" w:space="0"/>
            </w:tcBorders>
            <w:noWrap w:val="0"/>
            <w:vAlign w:val="top"/>
          </w:tcPr>
          <w:p w14:paraId="27B528F3">
            <w:pPr>
              <w:shd w:val="clear" w:color="auto" w:fill="auto"/>
              <w:spacing w:before="116" w:line="183" w:lineRule="auto"/>
              <w:ind w:firstLine="231"/>
              <w:rPr>
                <w:rFonts w:ascii="宋体" w:hAnsi="宋体" w:eastAsia="宋体" w:cs="宋体"/>
                <w:color w:val="auto"/>
                <w:sz w:val="23"/>
                <w:szCs w:val="23"/>
                <w:highlight w:val="none"/>
              </w:rPr>
            </w:pPr>
            <w:r>
              <w:rPr>
                <w:rFonts w:ascii="宋体" w:hAnsi="宋体" w:eastAsia="宋体" w:cs="宋体"/>
                <w:color w:val="auto"/>
                <w:spacing w:val="-17"/>
                <w:sz w:val="23"/>
                <w:szCs w:val="23"/>
                <w:highlight w:val="none"/>
              </w:rPr>
              <w:t>乙</w:t>
            </w:r>
            <w:r>
              <w:rPr>
                <w:rFonts w:ascii="宋体" w:hAnsi="宋体" w:eastAsia="宋体" w:cs="宋体"/>
                <w:color w:val="auto"/>
                <w:spacing w:val="36"/>
                <w:sz w:val="23"/>
                <w:szCs w:val="23"/>
                <w:highlight w:val="none"/>
              </w:rPr>
              <w:t xml:space="preserve">  </w:t>
            </w:r>
            <w:r>
              <w:rPr>
                <w:rFonts w:ascii="宋体" w:hAnsi="宋体" w:eastAsia="宋体" w:cs="宋体"/>
                <w:color w:val="auto"/>
                <w:spacing w:val="-17"/>
                <w:sz w:val="23"/>
                <w:szCs w:val="23"/>
                <w:highlight w:val="none"/>
              </w:rPr>
              <w:t>方：</w:t>
            </w:r>
          </w:p>
        </w:tc>
        <w:tc>
          <w:tcPr>
            <w:tcW w:w="5536" w:type="dxa"/>
            <w:noWrap w:val="0"/>
            <w:vAlign w:val="top"/>
          </w:tcPr>
          <w:p w14:paraId="3B10EF33">
            <w:pPr>
              <w:shd w:val="clear" w:color="auto" w:fill="auto"/>
              <w:spacing w:before="34" w:line="360" w:lineRule="exact"/>
              <w:ind w:firstLine="217"/>
              <w:rPr>
                <w:rFonts w:ascii="宋体" w:hAnsi="宋体" w:eastAsia="宋体" w:cs="宋体"/>
                <w:color w:val="auto"/>
                <w:sz w:val="23"/>
                <w:szCs w:val="23"/>
                <w:highlight w:val="none"/>
              </w:rPr>
            </w:pPr>
          </w:p>
        </w:tc>
      </w:tr>
      <w:tr w14:paraId="027F5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2303" w:type="dxa"/>
            <w:noWrap w:val="0"/>
            <w:vAlign w:val="top"/>
          </w:tcPr>
          <w:p w14:paraId="5445CEE3">
            <w:pPr>
              <w:shd w:val="clear" w:color="auto" w:fill="auto"/>
              <w:spacing w:before="120" w:line="183" w:lineRule="auto"/>
              <w:ind w:firstLine="124"/>
              <w:rPr>
                <w:rFonts w:ascii="宋体" w:hAnsi="宋体" w:eastAsia="宋体" w:cs="宋体"/>
                <w:color w:val="auto"/>
                <w:sz w:val="23"/>
                <w:szCs w:val="23"/>
                <w:highlight w:val="none"/>
              </w:rPr>
            </w:pPr>
            <w:r>
              <w:rPr>
                <w:rFonts w:ascii="宋体" w:hAnsi="宋体" w:eastAsia="宋体" w:cs="宋体"/>
                <w:color w:val="auto"/>
                <w:spacing w:val="-4"/>
                <w:sz w:val="23"/>
                <w:szCs w:val="23"/>
                <w:highlight w:val="none"/>
              </w:rPr>
              <w:t>签订日期：</w:t>
            </w:r>
          </w:p>
        </w:tc>
        <w:tc>
          <w:tcPr>
            <w:tcW w:w="5536" w:type="dxa"/>
            <w:tcBorders>
              <w:top w:val="single" w:color="000000" w:sz="2" w:space="0"/>
            </w:tcBorders>
            <w:noWrap w:val="0"/>
            <w:vAlign w:val="top"/>
          </w:tcPr>
          <w:p w14:paraId="00FF2275">
            <w:pPr>
              <w:shd w:val="clear" w:color="auto" w:fill="auto"/>
              <w:spacing w:before="108" w:line="183" w:lineRule="auto"/>
              <w:ind w:firstLine="513"/>
              <w:rPr>
                <w:rFonts w:ascii="宋体" w:hAnsi="宋体" w:eastAsia="宋体" w:cs="宋体"/>
                <w:color w:val="auto"/>
                <w:sz w:val="23"/>
                <w:szCs w:val="23"/>
                <w:highlight w:val="none"/>
              </w:rPr>
            </w:pPr>
            <w:r>
              <w:rPr>
                <w:rFonts w:ascii="宋体" w:hAnsi="宋体" w:eastAsia="宋体" w:cs="宋体"/>
                <w:color w:val="auto"/>
                <w:spacing w:val="-11"/>
                <w:sz w:val="23"/>
                <w:szCs w:val="23"/>
                <w:highlight w:val="none"/>
              </w:rPr>
              <w:t>年</w:t>
            </w:r>
            <w:r>
              <w:rPr>
                <w:rFonts w:ascii="宋体" w:hAnsi="宋体" w:eastAsia="宋体" w:cs="宋体"/>
                <w:color w:val="auto"/>
                <w:spacing w:val="19"/>
                <w:sz w:val="23"/>
                <w:szCs w:val="23"/>
                <w:highlight w:val="none"/>
              </w:rPr>
              <w:t xml:space="preserve">  </w:t>
            </w:r>
            <w:r>
              <w:rPr>
                <w:rFonts w:ascii="宋体" w:hAnsi="宋体" w:eastAsia="宋体" w:cs="宋体"/>
                <w:color w:val="auto"/>
                <w:spacing w:val="-11"/>
                <w:sz w:val="23"/>
                <w:szCs w:val="23"/>
                <w:highlight w:val="none"/>
              </w:rPr>
              <w:t>月</w:t>
            </w:r>
            <w:r>
              <w:rPr>
                <w:rFonts w:ascii="宋体" w:hAnsi="宋体" w:eastAsia="宋体" w:cs="宋体"/>
                <w:color w:val="auto"/>
                <w:spacing w:val="30"/>
                <w:sz w:val="23"/>
                <w:szCs w:val="23"/>
                <w:highlight w:val="none"/>
              </w:rPr>
              <w:t xml:space="preserve">  </w:t>
            </w:r>
            <w:r>
              <w:rPr>
                <w:rFonts w:ascii="宋体" w:hAnsi="宋体" w:eastAsia="宋体" w:cs="宋体"/>
                <w:color w:val="auto"/>
                <w:spacing w:val="-11"/>
                <w:sz w:val="23"/>
                <w:szCs w:val="23"/>
                <w:highlight w:val="none"/>
              </w:rPr>
              <w:t>日</w:t>
            </w:r>
          </w:p>
        </w:tc>
      </w:tr>
    </w:tbl>
    <w:p w14:paraId="20003199">
      <w:pPr>
        <w:shd w:val="clear" w:color="auto" w:fill="auto"/>
        <w:spacing w:line="360" w:lineRule="auto"/>
        <w:ind w:left="420" w:leftChars="200"/>
        <w:jc w:val="center"/>
        <w:rPr>
          <w:rFonts w:hint="eastAsia" w:ascii="宋体" w:hAnsi="宋体" w:eastAsia="宋体" w:cs="宋体"/>
          <w:color w:val="auto"/>
          <w:sz w:val="21"/>
          <w:szCs w:val="21"/>
          <w:highlight w:val="none"/>
          <w:lang w:eastAsia="zh-CN"/>
        </w:rPr>
      </w:pPr>
    </w:p>
    <w:p w14:paraId="2171E14E">
      <w:pPr>
        <w:shd w:val="clear" w:color="auto" w:fill="auto"/>
        <w:spacing w:line="360" w:lineRule="auto"/>
        <w:ind w:left="420" w:leftChars="200"/>
        <w:jc w:val="center"/>
        <w:rPr>
          <w:rFonts w:hint="eastAsia" w:ascii="宋体" w:hAnsi="宋体" w:eastAsia="宋体" w:cs="宋体"/>
          <w:color w:val="auto"/>
          <w:sz w:val="21"/>
          <w:szCs w:val="21"/>
          <w:highlight w:val="none"/>
          <w:lang w:eastAsia="zh-CN"/>
        </w:rPr>
      </w:pPr>
    </w:p>
    <w:p w14:paraId="44DFDEF8">
      <w:pPr>
        <w:pStyle w:val="12"/>
        <w:shd w:val="clear" w:color="auto" w:fill="auto"/>
        <w:spacing w:line="360" w:lineRule="auto"/>
        <w:rPr>
          <w:rFonts w:hint="eastAsia" w:ascii="宋体" w:hAnsi="宋体" w:eastAsia="宋体" w:cs="宋体"/>
          <w:b/>
          <w:bCs/>
          <w:color w:val="auto"/>
          <w:sz w:val="21"/>
          <w:szCs w:val="21"/>
          <w:highlight w:val="none"/>
          <w:lang w:eastAsia="zh-CN"/>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14:paraId="4969293F">
      <w:pPr>
        <w:pStyle w:val="13"/>
        <w:shd w:val="clear" w:color="auto" w:fill="auto"/>
        <w:spacing w:before="186" w:line="360" w:lineRule="auto"/>
        <w:ind w:left="478"/>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u w:val="single"/>
          <w:lang w:eastAsia="zh-CN"/>
        </w:rPr>
        <w:t>广东宏益健康产业投资有限公司</w:t>
      </w:r>
    </w:p>
    <w:p w14:paraId="024844B0">
      <w:pPr>
        <w:pStyle w:val="13"/>
        <w:shd w:val="clear" w:color="auto" w:fill="auto"/>
        <w:spacing w:before="186" w:line="360" w:lineRule="auto"/>
        <w:ind w:left="47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住所地：</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 xml:space="preserve"> </w:t>
      </w:r>
    </w:p>
    <w:p w14:paraId="7052BC7B">
      <w:pPr>
        <w:pStyle w:val="13"/>
        <w:shd w:val="clear" w:color="auto" w:fill="auto"/>
        <w:spacing w:before="186" w:line="360" w:lineRule="auto"/>
        <w:ind w:left="47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eastAsia="zh-CN"/>
        </w:rPr>
        <w:t xml:space="preserve">   </w:t>
      </w:r>
    </w:p>
    <w:p w14:paraId="20903C45">
      <w:pPr>
        <w:pStyle w:val="13"/>
        <w:shd w:val="clear" w:color="auto" w:fill="auto"/>
        <w:spacing w:before="186" w:line="360" w:lineRule="auto"/>
        <w:ind w:left="478"/>
        <w:rPr>
          <w:rFonts w:hint="eastAsia" w:ascii="宋体" w:hAnsi="宋体" w:eastAsia="宋体" w:cs="宋体"/>
          <w:color w:val="auto"/>
          <w:sz w:val="21"/>
          <w:szCs w:val="21"/>
          <w:highlight w:val="none"/>
          <w:lang w:eastAsia="zh-CN"/>
        </w:rPr>
      </w:pPr>
    </w:p>
    <w:p w14:paraId="1269B040">
      <w:pPr>
        <w:pStyle w:val="13"/>
        <w:shd w:val="clear" w:color="auto" w:fill="auto"/>
        <w:spacing w:before="186" w:line="360" w:lineRule="auto"/>
        <w:ind w:left="478"/>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 xml:space="preserve"> </w:t>
      </w:r>
    </w:p>
    <w:p w14:paraId="417AB3C5">
      <w:pPr>
        <w:pStyle w:val="13"/>
        <w:shd w:val="clear" w:color="auto" w:fill="auto"/>
        <w:spacing w:before="186" w:line="360" w:lineRule="auto"/>
        <w:ind w:left="478"/>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住所地：</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 xml:space="preserve"> </w:t>
      </w:r>
    </w:p>
    <w:p w14:paraId="68DC1E76">
      <w:pPr>
        <w:pStyle w:val="13"/>
        <w:shd w:val="clear" w:color="auto" w:fill="auto"/>
        <w:spacing w:before="186" w:line="360" w:lineRule="auto"/>
        <w:ind w:left="478"/>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 xml:space="preserve"> </w:t>
      </w:r>
    </w:p>
    <w:p w14:paraId="7EAE14B0">
      <w:pPr>
        <w:shd w:val="clear" w:color="auto" w:fill="auto"/>
        <w:spacing w:line="360" w:lineRule="auto"/>
        <w:rPr>
          <w:rFonts w:hint="eastAsia" w:ascii="宋体" w:hAnsi="宋体" w:eastAsia="宋体" w:cs="宋体"/>
          <w:color w:val="auto"/>
          <w:sz w:val="21"/>
          <w:szCs w:val="21"/>
          <w:highlight w:val="none"/>
          <w:lang w:eastAsia="zh-CN"/>
        </w:rPr>
      </w:pPr>
    </w:p>
    <w:p w14:paraId="414C5AF6">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为了开展三水区互联网医疗健康业务，推动区域内医院专科发展、医院科室医生多维度品牌宣传、卫健及医院智慧服务完善、医养结合服务升级、为区域居民提供多元化的互联网移动医疗服务、共同助力三水区居民医疗服务大健康行业高质量发展，甲方</w:t>
      </w:r>
      <w:r>
        <w:rPr>
          <w:rFonts w:hint="eastAsia" w:ascii="宋体" w:hAnsi="宋体" w:cs="宋体"/>
          <w:color w:val="auto"/>
          <w:sz w:val="21"/>
          <w:szCs w:val="21"/>
          <w:highlight w:val="none"/>
          <w:lang w:val="en-US" w:eastAsia="zh-CN"/>
        </w:rPr>
        <w:t>为</w:t>
      </w:r>
      <w:r>
        <w:rPr>
          <w:rFonts w:hint="eastAsia" w:ascii="宋体" w:hAnsi="宋体" w:eastAsia="宋体" w:cs="宋体"/>
          <w:color w:val="auto"/>
          <w:sz w:val="21"/>
          <w:szCs w:val="21"/>
          <w:highlight w:val="none"/>
          <w:lang w:eastAsia="zh-CN"/>
        </w:rPr>
        <w:t>三水区互联网医疗</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lang w:eastAsia="zh-CN"/>
        </w:rPr>
        <w:t>平台的</w:t>
      </w:r>
      <w:r>
        <w:rPr>
          <w:rFonts w:hint="eastAsia" w:ascii="宋体" w:hAnsi="宋体" w:eastAsia="宋体" w:cs="宋体"/>
          <w:color w:val="auto"/>
          <w:sz w:val="21"/>
          <w:szCs w:val="21"/>
          <w:highlight w:val="none"/>
          <w:lang w:val="en-US" w:eastAsia="zh-CN"/>
        </w:rPr>
        <w:t>建设方</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t>参照</w:t>
      </w:r>
      <w:r>
        <w:rPr>
          <w:rFonts w:eastAsia="宋体"/>
          <w:color w:val="auto"/>
          <w:sz w:val="21"/>
          <w:szCs w:val="21"/>
          <w:highlight w:val="none"/>
        </w:rPr>
        <w:t>《中华人民共和国政府采购法》《中华人民共和国民法典》和本项目</w:t>
      </w:r>
      <w:r>
        <w:rPr>
          <w:rFonts w:hint="eastAsia"/>
          <w:color w:val="auto"/>
          <w:sz w:val="21"/>
          <w:szCs w:val="21"/>
          <w:highlight w:val="none"/>
          <w:lang w:val="en-US" w:eastAsia="zh-CN"/>
        </w:rPr>
        <w:t>招募</w:t>
      </w:r>
      <w:r>
        <w:rPr>
          <w:rFonts w:eastAsia="宋体"/>
          <w:color w:val="auto"/>
          <w:sz w:val="21"/>
          <w:szCs w:val="21"/>
          <w:highlight w:val="none"/>
        </w:rPr>
        <w:t>文件的要求</w:t>
      </w:r>
      <w:r>
        <w:rPr>
          <w:rFonts w:hint="eastAsia" w:ascii="宋体" w:hAnsi="宋体" w:eastAsia="宋体" w:cs="宋体"/>
          <w:color w:val="auto"/>
          <w:sz w:val="21"/>
          <w:szCs w:val="21"/>
          <w:highlight w:val="none"/>
          <w:lang w:eastAsia="zh-CN"/>
        </w:rPr>
        <w:t>，甲乙双方经友好协商，就运营三水区互联网医疗</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lang w:eastAsia="zh-CN"/>
        </w:rPr>
        <w:t>平台的事宜达成一致，签订本合同，以资共同遵守。</w:t>
      </w:r>
    </w:p>
    <w:p w14:paraId="58D7E37D">
      <w:pPr>
        <w:shd w:val="clear" w:color="auto" w:fill="auto"/>
        <w:kinsoku/>
        <w:autoSpaceDE/>
        <w:autoSpaceDN/>
        <w:adjustRightInd/>
        <w:snapToGrid/>
        <w:spacing w:line="360" w:lineRule="auto"/>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第一条 运营</w:t>
      </w:r>
      <w:r>
        <w:rPr>
          <w:rFonts w:hint="eastAsia" w:ascii="宋体" w:hAnsi="宋体" w:cs="宋体"/>
          <w:b/>
          <w:bCs/>
          <w:color w:val="auto"/>
          <w:sz w:val="21"/>
          <w:szCs w:val="21"/>
          <w:highlight w:val="none"/>
          <w:lang w:val="en-US" w:eastAsia="zh-CN"/>
        </w:rPr>
        <w:t>宗旨</w:t>
      </w:r>
    </w:p>
    <w:p w14:paraId="2FBA4297">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甲方建</w:t>
      </w:r>
      <w:r>
        <w:rPr>
          <w:rFonts w:hint="eastAsia" w:ascii="宋体" w:hAnsi="宋体" w:eastAsia="宋体" w:cs="宋体"/>
          <w:color w:val="auto"/>
          <w:sz w:val="21"/>
          <w:szCs w:val="21"/>
          <w:highlight w:val="none"/>
          <w:lang w:val="en-US" w:eastAsia="zh-CN"/>
        </w:rPr>
        <w:t>设</w:t>
      </w:r>
      <w:r>
        <w:rPr>
          <w:rFonts w:hint="eastAsia" w:ascii="宋体" w:hAnsi="宋体" w:eastAsia="宋体" w:cs="宋体"/>
          <w:color w:val="auto"/>
          <w:sz w:val="21"/>
          <w:szCs w:val="21"/>
          <w:highlight w:val="none"/>
          <w:lang w:eastAsia="zh-CN"/>
        </w:rPr>
        <w:t>“三水区互联网医疗</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lang w:eastAsia="zh-CN"/>
        </w:rPr>
        <w:t>平台”（以下简称“平台”），</w:t>
      </w:r>
      <w:r>
        <w:rPr>
          <w:rFonts w:hint="eastAsia" w:ascii="宋体" w:hAnsi="宋体" w:eastAsia="宋体" w:cs="宋体"/>
          <w:color w:val="auto"/>
          <w:sz w:val="21"/>
          <w:szCs w:val="21"/>
          <w:highlight w:val="none"/>
          <w:lang w:val="en-US" w:eastAsia="zh-CN"/>
        </w:rPr>
        <w:t>乙方组建</w:t>
      </w:r>
      <w:r>
        <w:rPr>
          <w:rFonts w:hint="eastAsia" w:ascii="宋体" w:hAnsi="宋体" w:eastAsia="宋体" w:cs="宋体"/>
          <w:color w:val="auto"/>
          <w:sz w:val="21"/>
          <w:szCs w:val="21"/>
          <w:highlight w:val="none"/>
          <w:lang w:eastAsia="zh-CN"/>
        </w:rPr>
        <w:t>运营项目团队，</w:t>
      </w:r>
      <w:r>
        <w:rPr>
          <w:rFonts w:hint="eastAsia" w:ascii="宋体" w:hAnsi="宋体" w:eastAsia="宋体" w:cs="宋体"/>
          <w:color w:val="auto"/>
          <w:sz w:val="21"/>
          <w:szCs w:val="21"/>
          <w:highlight w:val="none"/>
          <w:lang w:val="en-US" w:eastAsia="zh-CN"/>
        </w:rPr>
        <w:t>通过</w:t>
      </w:r>
      <w:r>
        <w:rPr>
          <w:rFonts w:hint="eastAsia" w:ascii="宋体" w:hAnsi="宋体" w:eastAsia="宋体" w:cs="宋体"/>
          <w:color w:val="auto"/>
          <w:sz w:val="21"/>
          <w:szCs w:val="21"/>
          <w:highlight w:val="none"/>
          <w:lang w:eastAsia="zh-CN"/>
        </w:rPr>
        <w:t>专业化运营，将平台建设成为</w:t>
      </w:r>
      <w:r>
        <w:rPr>
          <w:rFonts w:hint="eastAsia" w:ascii="宋体" w:hAnsi="宋体" w:eastAsia="宋体" w:cs="宋体"/>
          <w:color w:val="auto"/>
          <w:sz w:val="21"/>
          <w:szCs w:val="21"/>
          <w:highlight w:val="none"/>
          <w:lang w:val="en-US" w:eastAsia="zh-CN"/>
        </w:rPr>
        <w:t>三水区</w:t>
      </w:r>
      <w:r>
        <w:rPr>
          <w:rFonts w:hint="eastAsia" w:ascii="宋体" w:hAnsi="宋体" w:eastAsia="宋体" w:cs="宋体"/>
          <w:color w:val="auto"/>
          <w:sz w:val="21"/>
          <w:szCs w:val="21"/>
          <w:highlight w:val="none"/>
          <w:lang w:eastAsia="zh-CN"/>
        </w:rPr>
        <w:t>内权威、便捷、高效、安全的互联网医疗服务</w:t>
      </w:r>
      <w:r>
        <w:rPr>
          <w:rFonts w:hint="eastAsia" w:ascii="宋体" w:hAnsi="宋体" w:eastAsia="宋体" w:cs="宋体"/>
          <w:color w:val="auto"/>
          <w:sz w:val="21"/>
          <w:szCs w:val="21"/>
          <w:highlight w:val="none"/>
          <w:lang w:val="en-US" w:eastAsia="zh-CN"/>
        </w:rPr>
        <w:t>平台</w:t>
      </w:r>
      <w:r>
        <w:rPr>
          <w:rFonts w:hint="eastAsia" w:ascii="宋体" w:hAnsi="宋体" w:eastAsia="宋体" w:cs="宋体"/>
          <w:color w:val="auto"/>
          <w:sz w:val="21"/>
          <w:szCs w:val="21"/>
          <w:highlight w:val="none"/>
          <w:lang w:eastAsia="zh-CN"/>
        </w:rPr>
        <w:t>，提升</w:t>
      </w:r>
      <w:r>
        <w:rPr>
          <w:rFonts w:hint="eastAsia" w:ascii="宋体" w:hAnsi="宋体" w:eastAsia="宋体" w:cs="宋体"/>
          <w:color w:val="auto"/>
          <w:sz w:val="21"/>
          <w:szCs w:val="21"/>
          <w:highlight w:val="none"/>
          <w:lang w:val="en-US" w:eastAsia="zh-CN"/>
        </w:rPr>
        <w:t>区内医疗机构</w:t>
      </w:r>
      <w:r>
        <w:rPr>
          <w:rFonts w:hint="eastAsia" w:ascii="宋体" w:hAnsi="宋体" w:eastAsia="宋体" w:cs="宋体"/>
          <w:color w:val="auto"/>
          <w:sz w:val="21"/>
          <w:szCs w:val="21"/>
          <w:highlight w:val="none"/>
          <w:lang w:eastAsia="zh-CN"/>
        </w:rPr>
        <w:t>的医疗服务效率与可及性，改善患者就医体验，促进区域医疗健康事业发展。</w:t>
      </w:r>
    </w:p>
    <w:p w14:paraId="2F3ABB41">
      <w:pPr>
        <w:shd w:val="clear" w:color="auto" w:fill="auto"/>
        <w:kinsoku/>
        <w:autoSpaceDE/>
        <w:autoSpaceDN/>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 xml:space="preserve">第二条 </w:t>
      </w:r>
      <w:r>
        <w:rPr>
          <w:rFonts w:hint="eastAsia" w:ascii="宋体" w:hAnsi="宋体" w:eastAsia="宋体" w:cs="宋体"/>
          <w:b/>
          <w:bCs/>
          <w:color w:val="auto"/>
          <w:sz w:val="21"/>
          <w:szCs w:val="21"/>
          <w:highlight w:val="none"/>
          <w:lang w:val="en-US" w:eastAsia="zh-CN"/>
        </w:rPr>
        <w:t>运营</w:t>
      </w:r>
      <w:r>
        <w:rPr>
          <w:rFonts w:hint="eastAsia" w:ascii="宋体" w:hAnsi="宋体" w:eastAsia="宋体" w:cs="宋体"/>
          <w:b/>
          <w:bCs/>
          <w:color w:val="auto"/>
          <w:sz w:val="21"/>
          <w:szCs w:val="21"/>
          <w:highlight w:val="none"/>
          <w:lang w:eastAsia="zh-CN"/>
        </w:rPr>
        <w:t>期限</w:t>
      </w:r>
    </w:p>
    <w:p w14:paraId="1E742E75">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期</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u w:val="single"/>
          <w:lang w:val="en-US" w:eastAsia="zh-CN"/>
        </w:rPr>
        <w:t xml:space="preserve"> 3 </w:t>
      </w:r>
      <w:r>
        <w:rPr>
          <w:rFonts w:hint="eastAsia" w:ascii="宋体" w:hAnsi="宋体" w:eastAsia="宋体" w:cs="宋体"/>
          <w:color w:val="auto"/>
          <w:sz w:val="21"/>
          <w:szCs w:val="21"/>
          <w:highlight w:val="none"/>
          <w:lang w:eastAsia="zh-CN"/>
        </w:rPr>
        <w:t>年，自协议签订之日起生效。</w:t>
      </w:r>
    </w:p>
    <w:p w14:paraId="08DAA8F7">
      <w:pPr>
        <w:shd w:val="clear" w:color="auto" w:fil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第</w:t>
      </w: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lang w:eastAsia="zh-CN"/>
        </w:rPr>
        <w:t>条 运营</w:t>
      </w:r>
      <w:r>
        <w:rPr>
          <w:rFonts w:hint="eastAsia" w:ascii="宋体" w:hAnsi="宋体" w:eastAsia="宋体" w:cs="宋体"/>
          <w:b/>
          <w:bCs/>
          <w:color w:val="auto"/>
          <w:sz w:val="21"/>
          <w:szCs w:val="21"/>
          <w:highlight w:val="none"/>
          <w:lang w:val="en-US" w:eastAsia="zh-CN"/>
        </w:rPr>
        <w:t>收入</w:t>
      </w:r>
      <w:r>
        <w:rPr>
          <w:rFonts w:hint="eastAsia" w:ascii="宋体" w:hAnsi="宋体" w:eastAsia="宋体" w:cs="宋体"/>
          <w:b/>
          <w:bCs/>
          <w:color w:val="auto"/>
          <w:sz w:val="21"/>
          <w:szCs w:val="21"/>
          <w:highlight w:val="none"/>
          <w:lang w:eastAsia="zh-CN"/>
        </w:rPr>
        <w:t>及分成</w:t>
      </w:r>
    </w:p>
    <w:p w14:paraId="440D5F50">
      <w:pPr>
        <w:pStyle w:val="122"/>
        <w:numPr>
          <w:ilvl w:val="0"/>
          <w:numId w:val="0"/>
        </w:num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（一）运营</w:t>
      </w:r>
      <w:r>
        <w:rPr>
          <w:rFonts w:hint="eastAsia" w:ascii="宋体" w:hAnsi="宋体" w:eastAsia="宋体" w:cs="宋体"/>
          <w:b/>
          <w:bCs/>
          <w:color w:val="auto"/>
          <w:sz w:val="21"/>
          <w:szCs w:val="21"/>
          <w:highlight w:val="none"/>
          <w:lang w:eastAsia="zh-CN"/>
        </w:rPr>
        <w:t>收入来源</w:t>
      </w:r>
      <w:r>
        <w:rPr>
          <w:rFonts w:hint="eastAsia" w:ascii="宋体" w:hAnsi="宋体" w:eastAsia="宋体" w:cs="宋体"/>
          <w:b/>
          <w:bCs/>
          <w:color w:val="auto"/>
          <w:sz w:val="21"/>
          <w:szCs w:val="21"/>
          <w:highlight w:val="none"/>
          <w:lang w:val="en-US" w:eastAsia="zh-CN"/>
        </w:rPr>
        <w:t>：</w:t>
      </w:r>
    </w:p>
    <w:p w14:paraId="31D9EC76">
      <w:pPr>
        <w:pStyle w:val="40"/>
        <w:shd w:val="clear" w:color="auto" w:fill="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本项目的运营收入（即</w:t>
      </w:r>
      <w:r>
        <w:rPr>
          <w:rFonts w:hint="eastAsia" w:ascii="宋体" w:hAnsi="宋体" w:cs="宋体"/>
          <w:color w:val="auto"/>
          <w:sz w:val="21"/>
          <w:szCs w:val="21"/>
          <w:highlight w:val="none"/>
          <w:lang w:val="en-US" w:eastAsia="zh-CN"/>
        </w:rPr>
        <w:t>平台服务收入</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是</w:t>
      </w:r>
      <w:r>
        <w:rPr>
          <w:rFonts w:hint="eastAsia" w:ascii="宋体" w:hAnsi="宋体" w:eastAsia="宋体" w:cs="宋体"/>
          <w:color w:val="auto"/>
          <w:sz w:val="21"/>
          <w:szCs w:val="21"/>
          <w:highlight w:val="none"/>
          <w:lang w:eastAsia="zh-CN"/>
        </w:rPr>
        <w:t>指</w:t>
      </w:r>
      <w:r>
        <w:rPr>
          <w:rFonts w:hint="eastAsia" w:ascii="宋体" w:hAnsi="宋体" w:eastAsia="宋体" w:cs="宋体"/>
          <w:color w:val="auto"/>
          <w:sz w:val="21"/>
          <w:szCs w:val="21"/>
          <w:highlight w:val="none"/>
          <w:lang w:val="en-US" w:eastAsia="zh-CN"/>
        </w:rPr>
        <w:t>通过三水区互联网医疗服务平台</w:t>
      </w:r>
      <w:r>
        <w:rPr>
          <w:rFonts w:hint="eastAsia" w:ascii="宋体" w:hAnsi="宋体" w:cs="宋体"/>
          <w:color w:val="auto"/>
          <w:sz w:val="21"/>
          <w:szCs w:val="21"/>
          <w:highlight w:val="none"/>
          <w:lang w:val="en-US" w:eastAsia="zh-CN"/>
        </w:rPr>
        <w:t>运营</w:t>
      </w:r>
      <w:r>
        <w:rPr>
          <w:rFonts w:hint="eastAsia" w:ascii="宋体" w:hAnsi="宋体" w:eastAsia="宋体" w:cs="宋体"/>
          <w:color w:val="auto"/>
          <w:sz w:val="21"/>
          <w:szCs w:val="21"/>
          <w:highlight w:val="none"/>
          <w:lang w:val="en-US" w:eastAsia="zh-CN"/>
        </w:rPr>
        <w:t>产生的服务收</w:t>
      </w:r>
      <w:r>
        <w:rPr>
          <w:rFonts w:hint="eastAsia" w:ascii="宋体" w:hAnsi="宋体" w:cs="宋体"/>
          <w:color w:val="auto"/>
          <w:sz w:val="21"/>
          <w:szCs w:val="21"/>
          <w:highlight w:val="none"/>
          <w:lang w:val="en-US" w:eastAsia="zh-CN"/>
        </w:rPr>
        <w:t>入。</w:t>
      </w:r>
      <w:r>
        <w:rPr>
          <w:rFonts w:hint="eastAsia" w:ascii="宋体" w:hAnsi="宋体" w:eastAsia="宋体" w:cs="宋体"/>
          <w:color w:val="auto"/>
          <w:sz w:val="21"/>
          <w:szCs w:val="21"/>
          <w:highlight w:val="none"/>
          <w:lang w:val="en-US" w:eastAsia="zh-CN"/>
        </w:rPr>
        <w:t>平台</w:t>
      </w:r>
      <w:r>
        <w:rPr>
          <w:rFonts w:hint="eastAsia" w:ascii="宋体" w:hAnsi="宋体" w:cs="宋体"/>
          <w:color w:val="auto"/>
          <w:sz w:val="21"/>
          <w:szCs w:val="21"/>
          <w:highlight w:val="none"/>
          <w:lang w:val="en-US" w:eastAsia="zh-CN"/>
        </w:rPr>
        <w:t>运营</w:t>
      </w:r>
      <w:r>
        <w:rPr>
          <w:rFonts w:hint="eastAsia" w:ascii="宋体" w:hAnsi="宋体" w:eastAsia="宋体" w:cs="宋体"/>
          <w:color w:val="auto"/>
          <w:sz w:val="21"/>
          <w:szCs w:val="21"/>
          <w:highlight w:val="none"/>
          <w:lang w:val="en-US" w:eastAsia="zh-CN"/>
        </w:rPr>
        <w:t>服务项目包含</w:t>
      </w:r>
      <w:r>
        <w:rPr>
          <w:rFonts w:hint="eastAsia" w:ascii="宋体" w:hAnsi="宋体" w:cs="宋体"/>
          <w:color w:val="auto"/>
          <w:sz w:val="21"/>
          <w:szCs w:val="21"/>
          <w:highlight w:val="none"/>
          <w:lang w:val="en-US" w:eastAsia="zh-CN"/>
        </w:rPr>
        <w:t>但不限于</w:t>
      </w:r>
      <w:r>
        <w:rPr>
          <w:rFonts w:hint="eastAsia" w:ascii="宋体" w:hAnsi="宋体" w:eastAsia="宋体" w:cs="宋体"/>
          <w:color w:val="auto"/>
          <w:sz w:val="21"/>
          <w:szCs w:val="21"/>
          <w:highlight w:val="none"/>
          <w:lang w:val="en-US" w:eastAsia="zh-CN"/>
        </w:rPr>
        <w:t>订单类、入驻类、医院IT业务、医药电商业务、院内服务类等</w:t>
      </w:r>
      <w:r>
        <w:rPr>
          <w:rFonts w:hint="eastAsia" w:ascii="宋体" w:hAnsi="宋体" w:cs="宋体"/>
          <w:color w:val="auto"/>
          <w:sz w:val="21"/>
          <w:szCs w:val="21"/>
          <w:highlight w:val="none"/>
          <w:lang w:val="en-US" w:eastAsia="zh-CN"/>
        </w:rPr>
        <w:t>产生收入</w:t>
      </w:r>
      <w:r>
        <w:rPr>
          <w:rFonts w:hint="eastAsia" w:ascii="宋体" w:hAnsi="宋体" w:eastAsia="宋体" w:cs="宋体"/>
          <w:color w:val="auto"/>
          <w:sz w:val="21"/>
          <w:szCs w:val="21"/>
          <w:highlight w:val="none"/>
          <w:lang w:val="en-US" w:eastAsia="zh-CN"/>
        </w:rPr>
        <w:t>，具体如下：</w:t>
      </w:r>
    </w:p>
    <w:p w14:paraId="2A6D3EF5">
      <w:pPr>
        <w:pStyle w:val="40"/>
        <w:shd w:val="clear" w:color="auto" w:fill="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（1）订单类业务：通过运营服务，拓展医疗机构将其体检、医美、口腔、医疗等服务上线到平台推广，在平台销售并完成核销的订单获得收</w:t>
      </w:r>
      <w:r>
        <w:rPr>
          <w:rFonts w:hint="eastAsia" w:ascii="宋体" w:hAnsi="宋体" w:cs="宋体"/>
          <w:color w:val="auto"/>
          <w:sz w:val="21"/>
          <w:szCs w:val="21"/>
          <w:highlight w:val="none"/>
          <w:lang w:val="en-US" w:eastAsia="zh-CN"/>
        </w:rPr>
        <w:t>入</w:t>
      </w:r>
      <w:r>
        <w:rPr>
          <w:rFonts w:hint="eastAsia" w:ascii="宋体" w:hAnsi="宋体" w:eastAsia="宋体" w:cs="宋体"/>
          <w:color w:val="auto"/>
          <w:sz w:val="21"/>
          <w:szCs w:val="21"/>
          <w:highlight w:val="none"/>
          <w:lang w:val="en-US" w:eastAsia="zh-CN"/>
        </w:rPr>
        <w:t>。</w:t>
      </w:r>
    </w:p>
    <w:p w14:paraId="7899E62F">
      <w:pPr>
        <w:pStyle w:val="40"/>
        <w:shd w:val="clear" w:color="auto" w:fill="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（2）入驻类业务：通过运营服务，拓展医疗机构、商家等入驻到平台，平台收取入驻机构的入驻费收</w:t>
      </w:r>
      <w:r>
        <w:rPr>
          <w:rFonts w:hint="eastAsia" w:ascii="宋体" w:hAnsi="宋体" w:cs="宋体"/>
          <w:color w:val="auto"/>
          <w:sz w:val="21"/>
          <w:szCs w:val="21"/>
          <w:highlight w:val="none"/>
          <w:lang w:val="en-US" w:eastAsia="zh-CN"/>
        </w:rPr>
        <w:t>入</w:t>
      </w:r>
      <w:r>
        <w:rPr>
          <w:rFonts w:hint="eastAsia" w:ascii="宋体" w:hAnsi="宋体" w:eastAsia="宋体" w:cs="宋体"/>
          <w:color w:val="auto"/>
          <w:sz w:val="21"/>
          <w:szCs w:val="21"/>
          <w:highlight w:val="none"/>
          <w:lang w:val="en-US" w:eastAsia="zh-CN"/>
        </w:rPr>
        <w:t>。</w:t>
      </w:r>
    </w:p>
    <w:p w14:paraId="13B3CEDC">
      <w:pPr>
        <w:pStyle w:val="40"/>
        <w:shd w:val="clear" w:color="auto" w:fill="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（3）医院IT业务：通过运营服务，平台为各种医疗机构提供医院AI产品功能升级、云医院SAAS服务和互联网牌照申请等</w:t>
      </w:r>
      <w:r>
        <w:rPr>
          <w:rFonts w:hint="eastAsia" w:ascii="宋体" w:hAnsi="宋体" w:cs="宋体"/>
          <w:color w:val="auto"/>
          <w:sz w:val="21"/>
          <w:szCs w:val="21"/>
          <w:highlight w:val="none"/>
          <w:lang w:val="en-US" w:eastAsia="zh-CN"/>
        </w:rPr>
        <w:t>服务获得</w:t>
      </w:r>
      <w:r>
        <w:rPr>
          <w:rFonts w:hint="eastAsia" w:ascii="宋体" w:hAnsi="宋体" w:eastAsia="宋体" w:cs="宋体"/>
          <w:color w:val="auto"/>
          <w:sz w:val="21"/>
          <w:szCs w:val="21"/>
          <w:highlight w:val="none"/>
          <w:lang w:val="en-US" w:eastAsia="zh-CN"/>
        </w:rPr>
        <w:t>收</w:t>
      </w:r>
      <w:r>
        <w:rPr>
          <w:rFonts w:hint="eastAsia" w:ascii="宋体" w:hAnsi="宋体" w:cs="宋体"/>
          <w:color w:val="auto"/>
          <w:sz w:val="21"/>
          <w:szCs w:val="21"/>
          <w:highlight w:val="none"/>
          <w:lang w:val="en-US" w:eastAsia="zh-CN"/>
        </w:rPr>
        <w:t>入</w:t>
      </w:r>
      <w:r>
        <w:rPr>
          <w:rFonts w:hint="eastAsia" w:ascii="宋体" w:hAnsi="宋体" w:eastAsia="宋体" w:cs="宋体"/>
          <w:color w:val="auto"/>
          <w:sz w:val="21"/>
          <w:szCs w:val="21"/>
          <w:highlight w:val="none"/>
          <w:lang w:val="en-US" w:eastAsia="zh-CN"/>
        </w:rPr>
        <w:t>。</w:t>
      </w:r>
    </w:p>
    <w:p w14:paraId="2B022532">
      <w:pPr>
        <w:pStyle w:val="40"/>
        <w:shd w:val="clear" w:color="auto" w:fill="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（4）医药电商业务：通过运营服务，平台为各种医疗机构</w:t>
      </w:r>
      <w:r>
        <w:rPr>
          <w:rFonts w:hint="eastAsia" w:ascii="宋体" w:hAnsi="宋体" w:cs="宋体"/>
          <w:color w:val="auto"/>
          <w:sz w:val="21"/>
          <w:szCs w:val="21"/>
          <w:highlight w:val="none"/>
          <w:lang w:val="en-US" w:eastAsia="zh-CN"/>
        </w:rPr>
        <w:t>/商家</w:t>
      </w:r>
      <w:r>
        <w:rPr>
          <w:rFonts w:hint="eastAsia" w:ascii="宋体" w:hAnsi="宋体" w:eastAsia="宋体" w:cs="宋体"/>
          <w:color w:val="auto"/>
          <w:sz w:val="21"/>
          <w:szCs w:val="21"/>
          <w:highlight w:val="none"/>
          <w:lang w:val="en-US" w:eastAsia="zh-CN"/>
        </w:rPr>
        <w:t>提供</w:t>
      </w:r>
      <w:r>
        <w:rPr>
          <w:rFonts w:hint="eastAsia" w:ascii="宋体" w:hAnsi="宋体" w:cs="宋体"/>
          <w:color w:val="auto"/>
          <w:sz w:val="21"/>
          <w:szCs w:val="21"/>
          <w:highlight w:val="none"/>
          <w:lang w:val="en-US" w:eastAsia="zh-CN"/>
        </w:rPr>
        <w:t>药品、</w:t>
      </w:r>
      <w:r>
        <w:rPr>
          <w:rFonts w:hint="eastAsia" w:ascii="宋体" w:hAnsi="宋体" w:eastAsia="宋体" w:cs="宋体"/>
          <w:color w:val="auto"/>
          <w:sz w:val="21"/>
          <w:szCs w:val="21"/>
          <w:highlight w:val="none"/>
          <w:lang w:val="en-US" w:eastAsia="zh-CN"/>
        </w:rPr>
        <w:t>医药耗材与器械、功能性健康产品、院内制剂与膏方、特色营养餐、专科特色产品等代理运营和销售</w:t>
      </w:r>
      <w:r>
        <w:rPr>
          <w:rFonts w:hint="eastAsia" w:ascii="宋体" w:hAnsi="宋体" w:cs="宋体"/>
          <w:color w:val="auto"/>
          <w:sz w:val="21"/>
          <w:szCs w:val="21"/>
          <w:highlight w:val="none"/>
          <w:lang w:val="en-US" w:eastAsia="zh-CN"/>
        </w:rPr>
        <w:t>获得</w:t>
      </w:r>
      <w:r>
        <w:rPr>
          <w:rFonts w:hint="eastAsia" w:ascii="宋体" w:hAnsi="宋体" w:eastAsia="宋体" w:cs="宋体"/>
          <w:color w:val="auto"/>
          <w:sz w:val="21"/>
          <w:szCs w:val="21"/>
          <w:highlight w:val="none"/>
          <w:lang w:val="en-US" w:eastAsia="zh-CN"/>
        </w:rPr>
        <w:t>收</w:t>
      </w:r>
      <w:r>
        <w:rPr>
          <w:rFonts w:hint="eastAsia" w:ascii="宋体" w:hAnsi="宋体" w:cs="宋体"/>
          <w:color w:val="auto"/>
          <w:sz w:val="21"/>
          <w:szCs w:val="21"/>
          <w:highlight w:val="none"/>
          <w:lang w:val="en-US" w:eastAsia="zh-CN"/>
        </w:rPr>
        <w:t>入</w:t>
      </w:r>
      <w:r>
        <w:rPr>
          <w:rFonts w:hint="eastAsia" w:ascii="宋体" w:hAnsi="宋体" w:eastAsia="宋体" w:cs="宋体"/>
          <w:color w:val="auto"/>
          <w:sz w:val="21"/>
          <w:szCs w:val="21"/>
          <w:highlight w:val="none"/>
          <w:lang w:val="en-US" w:eastAsia="zh-CN"/>
        </w:rPr>
        <w:t>。</w:t>
      </w:r>
    </w:p>
    <w:p w14:paraId="5CDBFF5C">
      <w:pPr>
        <w:pStyle w:val="40"/>
        <w:numPr>
          <w:ilvl w:val="0"/>
          <w:numId w:val="0"/>
        </w:numPr>
        <w:shd w:val="clear" w:color="auto" w:fill="auto"/>
        <w:kinsoku/>
        <w:autoSpaceDE/>
        <w:autoSpaceDN/>
        <w:adjustRightInd/>
        <w:snapToGrid/>
        <w:spacing w:line="360" w:lineRule="auto"/>
        <w:ind w:firstLine="48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以上收</w:t>
      </w:r>
      <w:r>
        <w:rPr>
          <w:rFonts w:hint="eastAsia" w:ascii="宋体" w:hAnsi="宋体" w:cs="宋体"/>
          <w:color w:val="auto"/>
          <w:sz w:val="21"/>
          <w:szCs w:val="21"/>
          <w:highlight w:val="none"/>
          <w:lang w:val="en-US" w:eastAsia="zh-CN"/>
        </w:rPr>
        <w:t>入</w:t>
      </w:r>
      <w:r>
        <w:rPr>
          <w:rFonts w:hint="eastAsia" w:ascii="宋体" w:hAnsi="宋体" w:eastAsia="宋体" w:cs="宋体"/>
          <w:color w:val="auto"/>
          <w:sz w:val="21"/>
          <w:szCs w:val="21"/>
          <w:highlight w:val="none"/>
          <w:lang w:val="en-US" w:eastAsia="zh-CN"/>
        </w:rPr>
        <w:t>项目为暂定运营内容，双方新开展或核减业务的，应充分沟通后友好协商。</w:t>
      </w:r>
    </w:p>
    <w:p w14:paraId="70FA8323">
      <w:pPr>
        <w:pStyle w:val="122"/>
        <w:keepNext w:val="0"/>
        <w:keepLines w:val="0"/>
        <w:pageBreakBefore w:val="0"/>
        <w:widowControl w:val="0"/>
        <w:numPr>
          <w:ilvl w:val="0"/>
          <w:numId w:val="0"/>
        </w:numPr>
        <w:shd w:val="clear" w:color="auto" w:fill="auto"/>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乙方需与入驻三水区互联网医疗服务平台的相关机构签订入驻协议，协议报甲方备案，完成备案后实施。</w:t>
      </w:r>
    </w:p>
    <w:p w14:paraId="3F79D608">
      <w:pPr>
        <w:pStyle w:val="122"/>
        <w:numPr>
          <w:ilvl w:val="0"/>
          <w:numId w:val="0"/>
        </w:numPr>
        <w:shd w:val="clear" w:color="auto" w:fill="auto"/>
        <w:kinsoku/>
        <w:autoSpaceDE/>
        <w:autoSpaceDN/>
        <w:adjustRightInd/>
        <w:snapToGrid/>
        <w:spacing w:line="360" w:lineRule="auto"/>
        <w:ind w:firstLine="42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（二）运营分成：</w:t>
      </w:r>
    </w:p>
    <w:p w14:paraId="57FEF773">
      <w:pPr>
        <w:pStyle w:val="40"/>
        <w:numPr>
          <w:ilvl w:val="0"/>
          <w:numId w:val="0"/>
        </w:numPr>
        <w:shd w:val="clear" w:color="auto" w:fill="auto"/>
        <w:kinsoku/>
        <w:autoSpaceDE/>
        <w:autoSpaceDN/>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甲方的运营分成</w:t>
      </w:r>
      <w:r>
        <w:rPr>
          <w:rFonts w:hint="eastAsia" w:ascii="宋体" w:hAnsi="宋体" w:eastAsia="宋体" w:cs="宋体"/>
          <w:color w:val="auto"/>
          <w:sz w:val="21"/>
          <w:szCs w:val="21"/>
          <w:highlight w:val="none"/>
          <w:lang w:val="en-US" w:eastAsia="zh-CN"/>
        </w:rPr>
        <w:t>为保底分成+增效分成，即</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以年度平台服务总收入为计算基数，</w:t>
      </w:r>
      <w:r>
        <w:rPr>
          <w:rFonts w:hint="eastAsia" w:ascii="宋体" w:hAnsi="宋体" w:cs="宋体"/>
          <w:color w:val="auto"/>
          <w:sz w:val="21"/>
          <w:szCs w:val="21"/>
          <w:highlight w:val="none"/>
          <w:lang w:val="en-US" w:eastAsia="zh-CN"/>
        </w:rPr>
        <w:t>收取</w:t>
      </w:r>
      <w:r>
        <w:rPr>
          <w:rFonts w:hint="eastAsia" w:ascii="宋体" w:hAnsi="宋体" w:eastAsia="宋体" w:cs="宋体"/>
          <w:color w:val="auto"/>
          <w:sz w:val="21"/>
          <w:szCs w:val="21"/>
          <w:highlight w:val="none"/>
          <w:lang w:val="en-US" w:eastAsia="zh-CN"/>
        </w:rPr>
        <w:t>保底分成人民币140万元/年（含税）</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u w:val="none"/>
          <w:lang w:val="en-US" w:eastAsia="zh-CN"/>
        </w:rPr>
        <w:t>增效分成</w:t>
      </w:r>
      <w:r>
        <w:rPr>
          <w:rFonts w:hint="eastAsia" w:ascii="宋体" w:hAnsi="宋体" w:eastAsia="宋体" w:cs="宋体"/>
          <w:color w:val="auto"/>
          <w:sz w:val="21"/>
          <w:szCs w:val="21"/>
          <w:highlight w:val="none"/>
          <w:lang w:val="en-US" w:eastAsia="zh-CN"/>
        </w:rPr>
        <w:t>按照</w:t>
      </w:r>
      <w:r>
        <w:rPr>
          <w:rFonts w:hint="eastAsia" w:ascii="宋体" w:hAnsi="宋体" w:cs="宋体"/>
          <w:color w:val="auto"/>
          <w:sz w:val="21"/>
          <w:szCs w:val="21"/>
          <w:highlight w:val="none"/>
          <w:lang w:val="en-US" w:eastAsia="zh-CN"/>
        </w:rPr>
        <w:t>乙</w:t>
      </w:r>
      <w:r>
        <w:rPr>
          <w:rFonts w:hint="eastAsia" w:ascii="宋体" w:hAnsi="宋体" w:eastAsia="宋体" w:cs="宋体"/>
          <w:color w:val="auto"/>
          <w:sz w:val="21"/>
          <w:szCs w:val="21"/>
          <w:highlight w:val="none"/>
          <w:lang w:val="en-US" w:eastAsia="zh-CN"/>
        </w:rPr>
        <w:t>方报价的分成比例</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计算。若年度平台</w:t>
      </w:r>
      <w:r>
        <w:rPr>
          <w:rFonts w:hint="eastAsia" w:ascii="宋体" w:hAnsi="宋体" w:eastAsia="宋体" w:cs="宋体"/>
          <w:color w:val="auto"/>
          <w:kern w:val="2"/>
          <w:sz w:val="21"/>
          <w:szCs w:val="21"/>
          <w:highlight w:val="none"/>
          <w:lang w:val="en-US" w:eastAsia="zh-CN" w:bidi="ar-SA"/>
        </w:rPr>
        <w:t>服务总收入金额＜140万元的</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保底分成</w:t>
      </w:r>
      <w:r>
        <w:rPr>
          <w:rFonts w:hint="eastAsia" w:ascii="宋体" w:hAnsi="宋体" w:eastAsia="宋体" w:cs="宋体"/>
          <w:color w:val="auto"/>
          <w:sz w:val="21"/>
          <w:szCs w:val="21"/>
          <w:highlight w:val="none"/>
          <w:lang w:val="en-US" w:eastAsia="zh-CN"/>
        </w:rPr>
        <w:t>不足部分由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补足，确保</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年度分成不低于140万元；若年度平台</w:t>
      </w:r>
      <w:r>
        <w:rPr>
          <w:rFonts w:hint="eastAsia" w:ascii="宋体" w:hAnsi="宋体" w:eastAsia="宋体" w:cs="宋体"/>
          <w:color w:val="auto"/>
          <w:kern w:val="2"/>
          <w:sz w:val="21"/>
          <w:szCs w:val="21"/>
          <w:highlight w:val="none"/>
          <w:lang w:val="en-US" w:eastAsia="zh-CN" w:bidi="ar-SA"/>
        </w:rPr>
        <w:t>服务总收入金额＞140万元的，</w:t>
      </w:r>
      <w:r>
        <w:rPr>
          <w:rFonts w:hint="eastAsia" w:ascii="宋体" w:hAnsi="宋体" w:cs="宋体"/>
          <w:color w:val="auto"/>
          <w:kern w:val="2"/>
          <w:sz w:val="21"/>
          <w:szCs w:val="21"/>
          <w:highlight w:val="none"/>
          <w:lang w:val="en-US" w:eastAsia="zh-CN" w:bidi="ar-SA"/>
        </w:rPr>
        <w:t>乙方支付甲方保底分成</w:t>
      </w:r>
      <w:r>
        <w:rPr>
          <w:rFonts w:hint="eastAsia" w:ascii="宋体" w:hAnsi="宋体" w:eastAsia="宋体" w:cs="宋体"/>
          <w:color w:val="auto"/>
          <w:kern w:val="2"/>
          <w:sz w:val="21"/>
          <w:szCs w:val="21"/>
          <w:highlight w:val="none"/>
          <w:lang w:val="en-US" w:eastAsia="zh-CN" w:bidi="ar-SA"/>
        </w:rPr>
        <w:t>140万元，超出</w:t>
      </w:r>
      <w:r>
        <w:rPr>
          <w:rFonts w:hint="eastAsia" w:ascii="宋体" w:hAnsi="宋体" w:cs="宋体"/>
          <w:color w:val="auto"/>
          <w:kern w:val="2"/>
          <w:sz w:val="21"/>
          <w:szCs w:val="21"/>
          <w:highlight w:val="none"/>
          <w:lang w:val="en-US" w:eastAsia="zh-CN" w:bidi="ar-SA"/>
        </w:rPr>
        <w:t>保底分成</w:t>
      </w:r>
      <w:r>
        <w:rPr>
          <w:rFonts w:hint="eastAsia" w:ascii="宋体" w:hAnsi="宋体" w:eastAsia="宋体" w:cs="宋体"/>
          <w:color w:val="auto"/>
          <w:kern w:val="2"/>
          <w:sz w:val="21"/>
          <w:szCs w:val="21"/>
          <w:highlight w:val="none"/>
          <w:lang w:val="en-US" w:eastAsia="zh-CN" w:bidi="ar-SA"/>
        </w:rPr>
        <w:t>140万元部分</w:t>
      </w:r>
      <w:r>
        <w:rPr>
          <w:rFonts w:hint="eastAsia" w:ascii="宋体" w:hAnsi="宋体" w:eastAsia="宋体" w:cs="宋体"/>
          <w:color w:val="auto"/>
          <w:sz w:val="21"/>
          <w:szCs w:val="21"/>
          <w:highlight w:val="none"/>
          <w:lang w:val="en-US" w:eastAsia="zh-CN"/>
        </w:rPr>
        <w:t>按照</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报价的</w:t>
      </w:r>
      <w:r>
        <w:rPr>
          <w:rFonts w:hint="eastAsia" w:ascii="宋体" w:hAnsi="宋体" w:cs="宋体"/>
          <w:color w:val="auto"/>
          <w:sz w:val="21"/>
          <w:szCs w:val="21"/>
          <w:highlight w:val="none"/>
          <w:lang w:val="en-US" w:eastAsia="zh-CN"/>
        </w:rPr>
        <w:t>增效</w:t>
      </w:r>
      <w:r>
        <w:rPr>
          <w:rFonts w:hint="eastAsia" w:ascii="宋体" w:hAnsi="宋体" w:eastAsia="宋体" w:cs="宋体"/>
          <w:color w:val="auto"/>
          <w:sz w:val="21"/>
          <w:szCs w:val="21"/>
          <w:highlight w:val="none"/>
          <w:lang w:val="en-US" w:eastAsia="zh-CN"/>
        </w:rPr>
        <w:t>分成比例</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向</w:t>
      </w:r>
      <w:r>
        <w:rPr>
          <w:rFonts w:hint="eastAsia" w:ascii="宋体" w:hAnsi="宋体" w:eastAsia="宋体" w:cs="宋体"/>
          <w:color w:val="auto"/>
          <w:sz w:val="21"/>
          <w:szCs w:val="21"/>
          <w:highlight w:val="none"/>
          <w:lang w:val="en-US" w:eastAsia="zh-CN"/>
        </w:rPr>
        <w:t>甲方</w:t>
      </w:r>
      <w:r>
        <w:rPr>
          <w:rFonts w:hint="eastAsia" w:ascii="宋体" w:hAnsi="宋体" w:cs="宋体"/>
          <w:color w:val="auto"/>
          <w:sz w:val="21"/>
          <w:szCs w:val="21"/>
          <w:highlight w:val="none"/>
          <w:lang w:val="en-US" w:eastAsia="zh-CN"/>
        </w:rPr>
        <w:t>支付</w:t>
      </w:r>
      <w:r>
        <w:rPr>
          <w:rFonts w:hint="eastAsia" w:ascii="宋体" w:hAnsi="宋体" w:eastAsia="宋体" w:cs="宋体"/>
          <w:color w:val="auto"/>
          <w:sz w:val="21"/>
          <w:szCs w:val="21"/>
          <w:highlight w:val="none"/>
          <w:lang w:val="en-US" w:eastAsia="zh-CN"/>
        </w:rPr>
        <w:t>增效</w:t>
      </w:r>
      <w:r>
        <w:rPr>
          <w:rFonts w:hint="eastAsia" w:ascii="宋体" w:hAnsi="宋体" w:eastAsia="宋体" w:cs="宋体"/>
          <w:color w:val="auto"/>
          <w:kern w:val="2"/>
          <w:sz w:val="21"/>
          <w:szCs w:val="21"/>
          <w:highlight w:val="none"/>
          <w:lang w:val="en-US" w:eastAsia="zh-CN" w:bidi="ar-SA"/>
        </w:rPr>
        <w:t>分成</w:t>
      </w:r>
      <w:r>
        <w:rPr>
          <w:rFonts w:hint="eastAsia" w:ascii="宋体" w:hAnsi="宋体" w:eastAsia="宋体" w:cs="宋体"/>
          <w:color w:val="auto"/>
          <w:sz w:val="21"/>
          <w:szCs w:val="21"/>
          <w:highlight w:val="none"/>
          <w:lang w:val="en-US" w:eastAsia="zh-CN"/>
        </w:rPr>
        <w:t>。</w:t>
      </w:r>
    </w:p>
    <w:p w14:paraId="60843C7A">
      <w:pPr>
        <w:pStyle w:val="122"/>
        <w:shd w:val="clear" w:color="auto" w:fill="auto"/>
        <w:kinsoku/>
        <w:autoSpaceDE/>
        <w:autoSpaceDN/>
        <w:adjustRightInd/>
        <w:snapToGrid/>
        <w:spacing w:line="360" w:lineRule="auto"/>
        <w:ind w:firstLine="56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lang w:eastAsia="zh-CN"/>
        </w:rPr>
        <w:t>）结算和发票</w:t>
      </w:r>
    </w:p>
    <w:p w14:paraId="0AD582E9">
      <w:pPr>
        <w:pStyle w:val="40"/>
        <w:numPr>
          <w:ilvl w:val="0"/>
          <w:numId w:val="0"/>
        </w:numPr>
        <w:shd w:val="clear" w:color="auto" w:fill="auto"/>
        <w:ind w:firstLine="420" w:firstLineChars="200"/>
        <w:rPr>
          <w:rFonts w:hint="eastAsia" w:ascii="宋体" w:hAnsi="宋体" w:eastAsia="宋体" w:cs="宋体"/>
          <w:b w:val="0"/>
          <w:bCs w:val="0"/>
          <w:i w:val="0"/>
          <w:iCs w:val="0"/>
          <w:caps w:val="0"/>
          <w:color w:val="auto"/>
          <w:spacing w:val="0"/>
          <w:sz w:val="21"/>
          <w:szCs w:val="21"/>
          <w:highlight w:val="none"/>
          <w:shd w:val="clear" w:color="auto" w:fill="auto"/>
        </w:rPr>
      </w:pPr>
      <w:r>
        <w:rPr>
          <w:rFonts w:hint="eastAsia" w:ascii="宋体" w:hAnsi="宋体" w:eastAsia="宋体" w:cs="Times New Roman"/>
          <w:color w:val="auto"/>
          <w:kern w:val="2"/>
          <w:sz w:val="21"/>
          <w:szCs w:val="24"/>
          <w:highlight w:val="none"/>
          <w:lang w:val="en-US" w:eastAsia="zh-CN" w:bidi="ar-SA"/>
        </w:rPr>
        <w:t>1.乙方</w:t>
      </w:r>
      <w:r>
        <w:rPr>
          <w:rFonts w:hint="eastAsia" w:ascii="宋体" w:hAnsi="宋体" w:eastAsia="宋体" w:cs="宋体"/>
          <w:color w:val="auto"/>
          <w:kern w:val="2"/>
          <w:sz w:val="21"/>
          <w:szCs w:val="21"/>
          <w:highlight w:val="none"/>
          <w:lang w:val="en-US" w:eastAsia="zh-CN" w:bidi="ar-SA"/>
        </w:rPr>
        <w:t>开设专门账户</w:t>
      </w:r>
      <w:r>
        <w:rPr>
          <w:rFonts w:hint="eastAsia" w:ascii="宋体" w:hAnsi="宋体" w:eastAsia="宋体" w:cs="宋体"/>
          <w:i w:val="0"/>
          <w:iCs w:val="0"/>
          <w:caps w:val="0"/>
          <w:color w:val="auto"/>
          <w:spacing w:val="0"/>
          <w:sz w:val="21"/>
          <w:szCs w:val="21"/>
          <w:highlight w:val="none"/>
          <w:shd w:val="clear" w:color="auto" w:fill="auto"/>
        </w:rPr>
        <w:t>作为本项目经营业务费用的</w:t>
      </w:r>
      <w:r>
        <w:rPr>
          <w:rFonts w:hint="eastAsia" w:ascii="宋体" w:hAnsi="宋体" w:eastAsia="宋体" w:cs="宋体"/>
          <w:b w:val="0"/>
          <w:bCs w:val="0"/>
          <w:i w:val="0"/>
          <w:iCs w:val="0"/>
          <w:caps w:val="0"/>
          <w:color w:val="auto"/>
          <w:spacing w:val="0"/>
          <w:sz w:val="21"/>
          <w:szCs w:val="21"/>
          <w:highlight w:val="none"/>
          <w:shd w:val="clear" w:color="auto" w:fill="auto"/>
        </w:rPr>
        <w:t>专项收款账户</w:t>
      </w:r>
      <w:r>
        <w:rPr>
          <w:rFonts w:hint="eastAsia" w:ascii="宋体" w:hAnsi="宋体" w:eastAsia="宋体" w:cs="宋体"/>
          <w:b w:val="0"/>
          <w:bCs w:val="0"/>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本项目下产生的全部经营业务收入及应付款项均应通过上述专项账户进行收支流转</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该账户资金往来记录作为双方结算、分成及成本核算的主要依据</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b w:val="0"/>
          <w:bCs w:val="0"/>
          <w:i w:val="0"/>
          <w:iCs w:val="0"/>
          <w:caps w:val="0"/>
          <w:color w:val="auto"/>
          <w:spacing w:val="0"/>
          <w:sz w:val="21"/>
          <w:szCs w:val="21"/>
          <w:highlight w:val="none"/>
          <w:shd w:val="clear" w:color="auto" w:fill="auto"/>
        </w:rPr>
        <w:t>名义开户人不得将该资金用于抵押、担保或偿还自身债务。</w:t>
      </w:r>
    </w:p>
    <w:p w14:paraId="0347E90B">
      <w:pPr>
        <w:pStyle w:val="40"/>
        <w:numPr>
          <w:ilvl w:val="0"/>
          <w:numId w:val="0"/>
        </w:numPr>
        <w:shd w:val="clear" w:color="auto" w:fill="auto"/>
        <w:ind w:firstLine="420" w:firstLineChars="200"/>
        <w:rPr>
          <w:rFonts w:hint="default" w:ascii="宋体" w:hAnsi="宋体" w:eastAsia="宋体" w:cs="Times New Roman"/>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2.甲乙双方实行季度对账机制，</w:t>
      </w:r>
      <w:r>
        <w:rPr>
          <w:rFonts w:hint="eastAsia" w:ascii="宋体" w:hAnsi="宋体" w:eastAsia="宋体" w:cs="Times New Roman"/>
          <w:color w:val="auto"/>
          <w:kern w:val="2"/>
          <w:sz w:val="21"/>
          <w:szCs w:val="24"/>
          <w:highlight w:val="none"/>
          <w:lang w:val="en-US" w:eastAsia="zh-CN" w:bidi="ar-SA"/>
        </w:rPr>
        <w:t>乙</w:t>
      </w:r>
      <w:r>
        <w:rPr>
          <w:rFonts w:hint="default" w:ascii="宋体" w:hAnsi="宋体" w:eastAsia="宋体" w:cs="Times New Roman"/>
          <w:color w:val="auto"/>
          <w:kern w:val="2"/>
          <w:sz w:val="21"/>
          <w:szCs w:val="24"/>
          <w:highlight w:val="none"/>
          <w:lang w:val="en-US" w:eastAsia="zh-CN" w:bidi="ar-SA"/>
        </w:rPr>
        <w:t>方</w:t>
      </w:r>
      <w:r>
        <w:rPr>
          <w:rFonts w:hint="eastAsia" w:ascii="宋体" w:hAnsi="宋体" w:eastAsia="宋体" w:cs="Times New Roman"/>
          <w:color w:val="auto"/>
          <w:kern w:val="2"/>
          <w:sz w:val="21"/>
          <w:szCs w:val="24"/>
          <w:highlight w:val="none"/>
          <w:lang w:val="en-US" w:eastAsia="zh-CN" w:bidi="ar-SA"/>
        </w:rPr>
        <w:t>于每季度10日前将上季度</w:t>
      </w:r>
      <w:r>
        <w:rPr>
          <w:rFonts w:hint="default" w:ascii="宋体" w:hAnsi="宋体" w:eastAsia="宋体" w:cs="Times New Roman"/>
          <w:color w:val="auto"/>
          <w:kern w:val="2"/>
          <w:sz w:val="21"/>
          <w:szCs w:val="24"/>
          <w:highlight w:val="none"/>
          <w:lang w:val="en-US" w:eastAsia="zh-CN" w:bidi="ar-SA"/>
        </w:rPr>
        <w:t>营业收入</w:t>
      </w:r>
      <w:r>
        <w:rPr>
          <w:rFonts w:hint="eastAsia" w:ascii="宋体" w:hAnsi="宋体" w:eastAsia="宋体" w:cs="Times New Roman"/>
          <w:color w:val="auto"/>
          <w:kern w:val="2"/>
          <w:sz w:val="21"/>
          <w:szCs w:val="24"/>
          <w:highlight w:val="none"/>
          <w:lang w:val="en-US" w:eastAsia="zh-CN" w:bidi="ar-SA"/>
        </w:rPr>
        <w:t>报表报甲方进行数据核对。双方有权对专用账户、清分系统、财务凭证等进行内部或第三方审查，</w:t>
      </w:r>
      <w:r>
        <w:rPr>
          <w:rFonts w:hint="eastAsia" w:ascii="宋体" w:hAnsi="宋体" w:eastAsia="宋体" w:cs="宋体"/>
          <w:b w:val="0"/>
          <w:bCs w:val="0"/>
          <w:i w:val="0"/>
          <w:iCs w:val="0"/>
          <w:caps w:val="0"/>
          <w:color w:val="auto"/>
          <w:spacing w:val="0"/>
          <w:sz w:val="21"/>
          <w:szCs w:val="21"/>
          <w:highlight w:val="none"/>
          <w:shd w:val="clear" w:color="auto" w:fill="auto"/>
          <w:lang w:val="en-US" w:eastAsia="zh-CN"/>
        </w:rPr>
        <w:t>乙方</w:t>
      </w:r>
      <w:r>
        <w:rPr>
          <w:rFonts w:hint="eastAsia" w:ascii="宋体" w:hAnsi="宋体" w:eastAsia="宋体" w:cs="Times New Roman"/>
          <w:color w:val="auto"/>
          <w:kern w:val="2"/>
          <w:sz w:val="21"/>
          <w:szCs w:val="24"/>
          <w:highlight w:val="none"/>
          <w:lang w:val="en-US" w:eastAsia="zh-CN" w:bidi="ar-SA"/>
        </w:rPr>
        <w:t>应提供完整数据、账户权限、财务资料，配合审查工作。</w:t>
      </w:r>
    </w:p>
    <w:p w14:paraId="59D14310">
      <w:pPr>
        <w:pStyle w:val="40"/>
        <w:numPr>
          <w:ilvl w:val="0"/>
          <w:numId w:val="0"/>
        </w:numPr>
        <w:shd w:val="clear" w:color="auto" w:fill="auto"/>
        <w:ind w:firstLine="420" w:firstLineChars="200"/>
        <w:rPr>
          <w:rFonts w:hint="default"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3.</w:t>
      </w:r>
      <w:r>
        <w:rPr>
          <w:rFonts w:hint="default" w:ascii="宋体" w:hAnsi="宋体" w:eastAsia="宋体" w:cs="Times New Roman"/>
          <w:color w:val="auto"/>
          <w:kern w:val="2"/>
          <w:sz w:val="21"/>
          <w:szCs w:val="24"/>
          <w:highlight w:val="none"/>
          <w:lang w:val="en-US" w:eastAsia="zh-CN" w:bidi="ar-SA"/>
        </w:rPr>
        <w:t>分成结算按</w:t>
      </w:r>
      <w:r>
        <w:rPr>
          <w:rFonts w:hint="eastAsia" w:ascii="宋体" w:hAnsi="宋体" w:eastAsia="宋体" w:cs="Times New Roman"/>
          <w:color w:val="auto"/>
          <w:kern w:val="2"/>
          <w:sz w:val="21"/>
          <w:szCs w:val="24"/>
          <w:highlight w:val="none"/>
          <w:lang w:val="en-US" w:eastAsia="zh-CN" w:bidi="ar-SA"/>
        </w:rPr>
        <w:t>半年</w:t>
      </w:r>
      <w:r>
        <w:rPr>
          <w:rFonts w:hint="default" w:ascii="宋体" w:hAnsi="宋体" w:eastAsia="宋体" w:cs="Times New Roman"/>
          <w:color w:val="auto"/>
          <w:kern w:val="2"/>
          <w:sz w:val="21"/>
          <w:szCs w:val="24"/>
          <w:highlight w:val="none"/>
          <w:lang w:val="en-US" w:eastAsia="zh-CN" w:bidi="ar-SA"/>
        </w:rPr>
        <w:t>预结算、年度终结算的方式进行：</w:t>
      </w:r>
    </w:p>
    <w:p w14:paraId="49018649">
      <w:pPr>
        <w:pStyle w:val="40"/>
        <w:numPr>
          <w:ilvl w:val="0"/>
          <w:numId w:val="0"/>
        </w:numPr>
        <w:shd w:val="clear" w:color="auto" w:fill="auto"/>
        <w:ind w:firstLine="420" w:firstLineChars="200"/>
        <w:rPr>
          <w:rFonts w:hint="default"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（1）半年</w:t>
      </w:r>
      <w:r>
        <w:rPr>
          <w:rFonts w:hint="default" w:ascii="宋体" w:hAnsi="宋体" w:eastAsia="宋体" w:cs="Times New Roman"/>
          <w:color w:val="auto"/>
          <w:kern w:val="2"/>
          <w:sz w:val="21"/>
          <w:szCs w:val="24"/>
          <w:highlight w:val="none"/>
          <w:lang w:val="en-US" w:eastAsia="zh-CN" w:bidi="ar-SA"/>
        </w:rPr>
        <w:t>度预结算：</w:t>
      </w:r>
      <w:r>
        <w:rPr>
          <w:rFonts w:hint="eastAsia" w:ascii="宋体" w:hAnsi="宋体" w:eastAsia="宋体" w:cs="Times New Roman"/>
          <w:color w:val="auto"/>
          <w:kern w:val="2"/>
          <w:sz w:val="21"/>
          <w:szCs w:val="24"/>
          <w:highlight w:val="none"/>
          <w:lang w:val="en-US" w:eastAsia="zh-CN" w:bidi="ar-SA"/>
        </w:rPr>
        <w:t>半年</w:t>
      </w:r>
      <w:r>
        <w:rPr>
          <w:rFonts w:hint="default" w:ascii="宋体" w:hAnsi="宋体" w:eastAsia="宋体" w:cs="Times New Roman"/>
          <w:color w:val="auto"/>
          <w:kern w:val="2"/>
          <w:sz w:val="21"/>
          <w:szCs w:val="24"/>
          <w:highlight w:val="none"/>
          <w:lang w:val="en-US" w:eastAsia="zh-CN" w:bidi="ar-SA"/>
        </w:rPr>
        <w:t>度结束后</w:t>
      </w:r>
      <w:r>
        <w:rPr>
          <w:rFonts w:hint="eastAsia" w:ascii="宋体" w:hAnsi="宋体" w:cs="Times New Roman"/>
          <w:color w:val="auto"/>
          <w:kern w:val="2"/>
          <w:sz w:val="21"/>
          <w:szCs w:val="24"/>
          <w:highlight w:val="none"/>
          <w:lang w:val="en-US" w:eastAsia="zh-CN" w:bidi="ar-SA"/>
        </w:rPr>
        <w:t>30日</w:t>
      </w:r>
      <w:r>
        <w:rPr>
          <w:rFonts w:hint="default" w:ascii="宋体" w:hAnsi="宋体" w:eastAsia="宋体" w:cs="Times New Roman"/>
          <w:color w:val="auto"/>
          <w:kern w:val="2"/>
          <w:sz w:val="21"/>
          <w:szCs w:val="24"/>
          <w:highlight w:val="none"/>
          <w:lang w:val="en-US" w:eastAsia="zh-CN" w:bidi="ar-SA"/>
        </w:rPr>
        <w:t>内，</w:t>
      </w:r>
      <w:r>
        <w:rPr>
          <w:rFonts w:hint="eastAsia" w:ascii="宋体" w:hAnsi="宋体" w:eastAsia="宋体" w:cs="Times New Roman"/>
          <w:color w:val="auto"/>
          <w:kern w:val="2"/>
          <w:sz w:val="21"/>
          <w:szCs w:val="24"/>
          <w:highlight w:val="none"/>
          <w:lang w:val="en-US" w:eastAsia="zh-CN" w:bidi="ar-SA"/>
        </w:rPr>
        <w:t>乙</w:t>
      </w:r>
      <w:r>
        <w:rPr>
          <w:rFonts w:hint="default" w:ascii="宋体" w:hAnsi="宋体" w:eastAsia="宋体" w:cs="Times New Roman"/>
          <w:color w:val="auto"/>
          <w:kern w:val="2"/>
          <w:sz w:val="21"/>
          <w:szCs w:val="24"/>
          <w:highlight w:val="none"/>
          <w:lang w:val="en-US" w:eastAsia="zh-CN" w:bidi="ar-SA"/>
        </w:rPr>
        <w:t>方向</w:t>
      </w:r>
      <w:r>
        <w:rPr>
          <w:rFonts w:hint="eastAsia" w:ascii="宋体" w:hAnsi="宋体" w:eastAsia="宋体" w:cs="Times New Roman"/>
          <w:color w:val="auto"/>
          <w:kern w:val="2"/>
          <w:sz w:val="21"/>
          <w:szCs w:val="24"/>
          <w:highlight w:val="none"/>
          <w:lang w:val="en-US" w:eastAsia="zh-CN" w:bidi="ar-SA"/>
        </w:rPr>
        <w:t>甲</w:t>
      </w:r>
      <w:r>
        <w:rPr>
          <w:rFonts w:hint="default" w:ascii="宋体" w:hAnsi="宋体" w:eastAsia="宋体" w:cs="Times New Roman"/>
          <w:color w:val="auto"/>
          <w:kern w:val="2"/>
          <w:sz w:val="21"/>
          <w:szCs w:val="24"/>
          <w:highlight w:val="none"/>
          <w:lang w:val="en-US" w:eastAsia="zh-CN" w:bidi="ar-SA"/>
        </w:rPr>
        <w:t>方提交</w:t>
      </w:r>
      <w:r>
        <w:rPr>
          <w:rFonts w:hint="eastAsia" w:ascii="宋体" w:hAnsi="宋体" w:eastAsia="宋体" w:cs="Times New Roman"/>
          <w:color w:val="auto"/>
          <w:kern w:val="2"/>
          <w:sz w:val="21"/>
          <w:szCs w:val="24"/>
          <w:highlight w:val="none"/>
          <w:lang w:val="en-US" w:eastAsia="zh-CN" w:bidi="ar-SA"/>
        </w:rPr>
        <w:t>半年</w:t>
      </w:r>
      <w:r>
        <w:rPr>
          <w:rFonts w:hint="default" w:ascii="宋体" w:hAnsi="宋体" w:eastAsia="宋体" w:cs="Times New Roman"/>
          <w:color w:val="auto"/>
          <w:kern w:val="2"/>
          <w:sz w:val="21"/>
          <w:szCs w:val="24"/>
          <w:highlight w:val="none"/>
          <w:lang w:val="en-US" w:eastAsia="zh-CN" w:bidi="ar-SA"/>
        </w:rPr>
        <w:t>度</w:t>
      </w:r>
      <w:r>
        <w:rPr>
          <w:rFonts w:hint="eastAsia" w:ascii="宋体" w:hAnsi="宋体" w:eastAsia="宋体" w:cs="Times New Roman"/>
          <w:color w:val="auto"/>
          <w:kern w:val="2"/>
          <w:sz w:val="21"/>
          <w:szCs w:val="24"/>
          <w:highlight w:val="none"/>
          <w:lang w:val="en-US" w:eastAsia="zh-CN" w:bidi="ar-SA"/>
        </w:rPr>
        <w:t>平台服务收入</w:t>
      </w:r>
      <w:r>
        <w:rPr>
          <w:rFonts w:hint="default" w:ascii="宋体" w:hAnsi="宋体" w:eastAsia="宋体" w:cs="Times New Roman"/>
          <w:color w:val="auto"/>
          <w:kern w:val="2"/>
          <w:sz w:val="21"/>
          <w:szCs w:val="24"/>
          <w:highlight w:val="none"/>
          <w:lang w:val="en-US" w:eastAsia="zh-CN" w:bidi="ar-SA"/>
        </w:rPr>
        <w:t>报表</w:t>
      </w:r>
      <w:r>
        <w:rPr>
          <w:rFonts w:hint="eastAsia" w:ascii="宋体" w:hAnsi="宋体" w:eastAsia="宋体" w:cs="Times New Roman"/>
          <w:color w:val="auto"/>
          <w:kern w:val="2"/>
          <w:sz w:val="21"/>
          <w:szCs w:val="24"/>
          <w:highlight w:val="none"/>
          <w:lang w:val="en-US" w:eastAsia="zh-CN" w:bidi="ar-SA"/>
        </w:rPr>
        <w:t>，并在对账确认后10日内向甲方</w:t>
      </w:r>
      <w:r>
        <w:rPr>
          <w:rFonts w:hint="default" w:ascii="宋体" w:hAnsi="宋体" w:eastAsia="宋体" w:cs="Times New Roman"/>
          <w:color w:val="auto"/>
          <w:kern w:val="2"/>
          <w:sz w:val="21"/>
          <w:szCs w:val="24"/>
          <w:highlight w:val="none"/>
          <w:lang w:val="en-US" w:eastAsia="zh-CN" w:bidi="ar-SA"/>
        </w:rPr>
        <w:t>支付</w:t>
      </w:r>
      <w:r>
        <w:rPr>
          <w:rFonts w:hint="eastAsia" w:ascii="宋体" w:hAnsi="宋体" w:eastAsia="宋体" w:cs="Times New Roman"/>
          <w:color w:val="auto"/>
          <w:kern w:val="2"/>
          <w:sz w:val="21"/>
          <w:szCs w:val="24"/>
          <w:highlight w:val="none"/>
          <w:lang w:val="en-US" w:eastAsia="zh-CN" w:bidi="ar-SA"/>
        </w:rPr>
        <w:t>半年</w:t>
      </w:r>
      <w:r>
        <w:rPr>
          <w:rFonts w:hint="default" w:ascii="宋体" w:hAnsi="宋体" w:eastAsia="宋体" w:cs="Times New Roman"/>
          <w:color w:val="auto"/>
          <w:kern w:val="2"/>
          <w:sz w:val="21"/>
          <w:szCs w:val="24"/>
          <w:highlight w:val="none"/>
          <w:lang w:val="en-US" w:eastAsia="zh-CN" w:bidi="ar-SA"/>
        </w:rPr>
        <w:t>度预分成款项</w:t>
      </w:r>
      <w:r>
        <w:rPr>
          <w:rFonts w:hint="eastAsia" w:ascii="宋体" w:hAnsi="宋体" w:eastAsia="宋体" w:cs="Times New Roman"/>
          <w:color w:val="auto"/>
          <w:kern w:val="2"/>
          <w:sz w:val="21"/>
          <w:szCs w:val="24"/>
          <w:highlight w:val="none"/>
          <w:lang w:val="en-US" w:eastAsia="zh-CN" w:bidi="ar-SA"/>
        </w:rPr>
        <w:t>70万元</w:t>
      </w:r>
      <w:r>
        <w:rPr>
          <w:rFonts w:hint="default" w:ascii="宋体" w:hAnsi="宋体" w:eastAsia="宋体" w:cs="Times New Roman"/>
          <w:color w:val="auto"/>
          <w:kern w:val="2"/>
          <w:sz w:val="21"/>
          <w:szCs w:val="24"/>
          <w:highlight w:val="none"/>
          <w:lang w:val="en-US" w:eastAsia="zh-CN" w:bidi="ar-SA"/>
        </w:rPr>
        <w:t>。</w:t>
      </w:r>
    </w:p>
    <w:p w14:paraId="3FBABD9D">
      <w:pPr>
        <w:pStyle w:val="40"/>
        <w:numPr>
          <w:ilvl w:val="0"/>
          <w:numId w:val="0"/>
        </w:numPr>
        <w:shd w:val="clear" w:color="auto" w:fill="auto"/>
        <w:ind w:firstLine="420" w:firstLineChars="200"/>
        <w:rPr>
          <w:rFonts w:hint="default" w:ascii="宋体" w:hAnsi="宋体" w:eastAsia="宋体" w:cs="Times New Roman"/>
          <w:color w:val="auto"/>
          <w:highlight w:val="none"/>
          <w:lang w:val="en-US" w:eastAsia="zh-CN"/>
        </w:rPr>
      </w:pPr>
      <w:r>
        <w:rPr>
          <w:rFonts w:hint="eastAsia" w:ascii="宋体" w:hAnsi="宋体" w:eastAsia="宋体" w:cs="Times New Roman"/>
          <w:color w:val="auto"/>
          <w:kern w:val="2"/>
          <w:sz w:val="21"/>
          <w:szCs w:val="24"/>
          <w:highlight w:val="none"/>
          <w:lang w:val="en-US" w:eastAsia="zh-CN" w:bidi="ar-SA"/>
        </w:rPr>
        <w:t>（2）</w:t>
      </w:r>
      <w:r>
        <w:rPr>
          <w:rFonts w:hint="default" w:ascii="宋体" w:hAnsi="宋体" w:eastAsia="宋体" w:cs="Times New Roman"/>
          <w:color w:val="auto"/>
          <w:kern w:val="2"/>
          <w:sz w:val="21"/>
          <w:szCs w:val="24"/>
          <w:highlight w:val="none"/>
          <w:lang w:val="en-US" w:eastAsia="zh-CN" w:bidi="ar-SA"/>
        </w:rPr>
        <w:t>年度终结算：每年</w:t>
      </w:r>
      <w:r>
        <w:rPr>
          <w:rFonts w:hint="eastAsia" w:ascii="宋体" w:hAnsi="宋体" w:cs="Times New Roman"/>
          <w:color w:val="auto"/>
          <w:kern w:val="2"/>
          <w:sz w:val="21"/>
          <w:szCs w:val="24"/>
          <w:highlight w:val="none"/>
          <w:lang w:val="en-US" w:eastAsia="zh-CN" w:bidi="ar-SA"/>
        </w:rPr>
        <w:t>度</w:t>
      </w:r>
      <w:r>
        <w:rPr>
          <w:rFonts w:hint="default" w:ascii="宋体" w:hAnsi="宋体" w:eastAsia="宋体" w:cs="Times New Roman"/>
          <w:color w:val="auto"/>
          <w:kern w:val="2"/>
          <w:sz w:val="21"/>
          <w:szCs w:val="24"/>
          <w:highlight w:val="none"/>
          <w:lang w:val="en-US" w:eastAsia="zh-CN" w:bidi="ar-SA"/>
        </w:rPr>
        <w:t>结束后</w:t>
      </w:r>
      <w:r>
        <w:rPr>
          <w:rFonts w:hint="eastAsia" w:ascii="宋体" w:hAnsi="宋体" w:cs="Times New Roman"/>
          <w:color w:val="auto"/>
          <w:kern w:val="2"/>
          <w:sz w:val="21"/>
          <w:szCs w:val="24"/>
          <w:highlight w:val="none"/>
          <w:lang w:val="en-US" w:eastAsia="zh-CN" w:bidi="ar-SA"/>
        </w:rPr>
        <w:t>30</w:t>
      </w:r>
      <w:r>
        <w:rPr>
          <w:rFonts w:hint="default" w:ascii="宋体" w:hAnsi="宋体" w:eastAsia="宋体" w:cs="Times New Roman"/>
          <w:color w:val="auto"/>
          <w:kern w:val="2"/>
          <w:sz w:val="21"/>
          <w:szCs w:val="24"/>
          <w:highlight w:val="none"/>
          <w:lang w:val="en-US" w:eastAsia="zh-CN" w:bidi="ar-SA"/>
        </w:rPr>
        <w:t>日内，双方完成年度</w:t>
      </w:r>
      <w:r>
        <w:rPr>
          <w:rFonts w:hint="eastAsia" w:ascii="宋体" w:hAnsi="宋体" w:eastAsia="宋体" w:cs="Times New Roman"/>
          <w:color w:val="auto"/>
          <w:kern w:val="2"/>
          <w:sz w:val="21"/>
          <w:szCs w:val="24"/>
          <w:highlight w:val="none"/>
          <w:lang w:val="en-US" w:eastAsia="zh-CN" w:bidi="ar-SA"/>
        </w:rPr>
        <w:t>平台服务总收入</w:t>
      </w:r>
      <w:r>
        <w:rPr>
          <w:rFonts w:hint="default" w:ascii="宋体" w:hAnsi="宋体" w:eastAsia="宋体" w:cs="Times New Roman"/>
          <w:color w:val="auto"/>
          <w:kern w:val="2"/>
          <w:sz w:val="21"/>
          <w:szCs w:val="24"/>
          <w:highlight w:val="none"/>
          <w:lang w:val="en-US" w:eastAsia="zh-CN" w:bidi="ar-SA"/>
        </w:rPr>
        <w:t>的核对确认，计算年度应得分成金额，扣除已支付的</w:t>
      </w:r>
      <w:r>
        <w:rPr>
          <w:rFonts w:hint="eastAsia" w:ascii="宋体" w:hAnsi="宋体" w:eastAsia="宋体" w:cs="Times New Roman"/>
          <w:color w:val="auto"/>
          <w:kern w:val="2"/>
          <w:sz w:val="21"/>
          <w:szCs w:val="24"/>
          <w:highlight w:val="none"/>
          <w:lang w:val="en-US" w:eastAsia="zh-CN" w:bidi="ar-SA"/>
        </w:rPr>
        <w:t>半年</w:t>
      </w:r>
      <w:r>
        <w:rPr>
          <w:rFonts w:hint="default" w:ascii="宋体" w:hAnsi="宋体" w:eastAsia="宋体" w:cs="Times New Roman"/>
          <w:color w:val="auto"/>
          <w:kern w:val="2"/>
          <w:sz w:val="21"/>
          <w:szCs w:val="24"/>
          <w:highlight w:val="none"/>
          <w:lang w:val="en-US" w:eastAsia="zh-CN" w:bidi="ar-SA"/>
        </w:rPr>
        <w:t>度预分成款项后，</w:t>
      </w:r>
      <w:r>
        <w:rPr>
          <w:rFonts w:hint="eastAsia" w:ascii="宋体" w:hAnsi="宋体" w:eastAsia="宋体" w:cs="Times New Roman"/>
          <w:color w:val="auto"/>
          <w:kern w:val="2"/>
          <w:sz w:val="21"/>
          <w:szCs w:val="24"/>
          <w:highlight w:val="none"/>
          <w:lang w:val="en-US" w:eastAsia="zh-CN" w:bidi="ar-SA"/>
        </w:rPr>
        <w:t>乙</w:t>
      </w:r>
      <w:r>
        <w:rPr>
          <w:rFonts w:hint="default" w:ascii="宋体" w:hAnsi="宋体" w:eastAsia="宋体" w:cs="Times New Roman"/>
          <w:color w:val="auto"/>
          <w:kern w:val="2"/>
          <w:sz w:val="21"/>
          <w:szCs w:val="24"/>
          <w:highlight w:val="none"/>
          <w:lang w:val="en-US" w:eastAsia="zh-CN" w:bidi="ar-SA"/>
        </w:rPr>
        <w:t>方</w:t>
      </w:r>
      <w:r>
        <w:rPr>
          <w:rFonts w:hint="eastAsia" w:ascii="宋体" w:hAnsi="宋体" w:eastAsia="宋体" w:cs="Times New Roman"/>
          <w:color w:val="auto"/>
          <w:kern w:val="2"/>
          <w:sz w:val="21"/>
          <w:szCs w:val="24"/>
          <w:highlight w:val="none"/>
          <w:lang w:val="en-US" w:eastAsia="zh-CN" w:bidi="ar-SA"/>
        </w:rPr>
        <w:t>在对账确认后10日内</w:t>
      </w:r>
      <w:r>
        <w:rPr>
          <w:rFonts w:hint="default" w:ascii="宋体" w:hAnsi="宋体" w:eastAsia="宋体" w:cs="Times New Roman"/>
          <w:color w:val="auto"/>
          <w:kern w:val="2"/>
          <w:sz w:val="21"/>
          <w:szCs w:val="24"/>
          <w:highlight w:val="none"/>
          <w:lang w:val="en-US" w:eastAsia="zh-CN" w:bidi="ar-SA"/>
        </w:rPr>
        <w:t>向</w:t>
      </w:r>
      <w:r>
        <w:rPr>
          <w:rFonts w:hint="eastAsia" w:ascii="宋体" w:hAnsi="宋体" w:eastAsia="宋体" w:cs="Times New Roman"/>
          <w:color w:val="auto"/>
          <w:kern w:val="2"/>
          <w:sz w:val="21"/>
          <w:szCs w:val="24"/>
          <w:highlight w:val="none"/>
          <w:lang w:val="en-US" w:eastAsia="zh-CN" w:bidi="ar-SA"/>
        </w:rPr>
        <w:t>甲</w:t>
      </w:r>
      <w:r>
        <w:rPr>
          <w:rFonts w:hint="default" w:ascii="宋体" w:hAnsi="宋体" w:eastAsia="宋体" w:cs="Times New Roman"/>
          <w:color w:val="auto"/>
          <w:kern w:val="2"/>
          <w:sz w:val="21"/>
          <w:szCs w:val="24"/>
          <w:highlight w:val="none"/>
          <w:lang w:val="en-US" w:eastAsia="zh-CN" w:bidi="ar-SA"/>
        </w:rPr>
        <w:t>方</w:t>
      </w:r>
      <w:r>
        <w:rPr>
          <w:rFonts w:hint="eastAsia" w:ascii="宋体" w:hAnsi="宋体" w:eastAsia="宋体" w:cs="宋体"/>
          <w:color w:val="auto"/>
          <w:sz w:val="21"/>
          <w:szCs w:val="21"/>
          <w:highlight w:val="none"/>
          <w:lang w:val="en-US" w:eastAsia="zh-CN"/>
        </w:rPr>
        <w:t>支付</w:t>
      </w:r>
      <w:r>
        <w:rPr>
          <w:rFonts w:hint="default" w:ascii="宋体" w:hAnsi="宋体" w:eastAsia="宋体" w:cs="Times New Roman"/>
          <w:color w:val="auto"/>
          <w:kern w:val="2"/>
          <w:sz w:val="21"/>
          <w:szCs w:val="24"/>
          <w:highlight w:val="none"/>
          <w:lang w:val="en-US" w:eastAsia="zh-CN" w:bidi="ar-SA"/>
        </w:rPr>
        <w:t>保底差额（</w:t>
      </w:r>
      <w:r>
        <w:rPr>
          <w:rFonts w:hint="eastAsia" w:ascii="宋体" w:hAnsi="宋体" w:eastAsia="宋体" w:cs="Times New Roman"/>
          <w:color w:val="auto"/>
          <w:kern w:val="2"/>
          <w:sz w:val="21"/>
          <w:szCs w:val="24"/>
          <w:highlight w:val="none"/>
          <w:lang w:val="en-US" w:eastAsia="zh-CN" w:bidi="ar-SA"/>
        </w:rPr>
        <w:t>70万元</w:t>
      </w:r>
      <w:r>
        <w:rPr>
          <w:rFonts w:hint="default" w:ascii="宋体" w:hAnsi="宋体" w:eastAsia="宋体" w:cs="Times New Roman"/>
          <w:color w:val="auto"/>
          <w:kern w:val="2"/>
          <w:sz w:val="21"/>
          <w:szCs w:val="24"/>
          <w:highlight w:val="none"/>
          <w:lang w:val="en-US" w:eastAsia="zh-CN" w:bidi="ar-SA"/>
        </w:rPr>
        <w:t>）</w:t>
      </w:r>
      <w:r>
        <w:rPr>
          <w:rFonts w:hint="eastAsia" w:ascii="宋体" w:hAnsi="宋体" w:eastAsia="宋体" w:cs="Times New Roman"/>
          <w:color w:val="auto"/>
          <w:kern w:val="2"/>
          <w:sz w:val="21"/>
          <w:szCs w:val="24"/>
          <w:highlight w:val="none"/>
          <w:lang w:val="en-US" w:eastAsia="zh-CN" w:bidi="ar-SA"/>
        </w:rPr>
        <w:t>及</w:t>
      </w:r>
      <w:r>
        <w:rPr>
          <w:rFonts w:hint="default" w:ascii="宋体" w:hAnsi="宋体" w:eastAsia="宋体" w:cs="Times New Roman"/>
          <w:color w:val="auto"/>
          <w:kern w:val="2"/>
          <w:sz w:val="21"/>
          <w:szCs w:val="24"/>
          <w:highlight w:val="none"/>
          <w:lang w:val="en-US" w:eastAsia="zh-CN" w:bidi="ar-SA"/>
        </w:rPr>
        <w:t>支付剩余增效分成款项（若有）。</w:t>
      </w:r>
    </w:p>
    <w:p w14:paraId="309D8B0C">
      <w:pPr>
        <w:pStyle w:val="122"/>
        <w:shd w:val="clear" w:color="auto" w:fill="auto"/>
        <w:kinsoku/>
        <w:autoSpaceDE/>
        <w:autoSpaceDN/>
        <w:adjustRightInd/>
        <w:snapToGrid/>
        <w:spacing w:line="360" w:lineRule="auto"/>
        <w:ind w:firstLine="56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4.双方结算规定增值税税种为：信息技术服务费，税率为6 %。</w:t>
      </w:r>
    </w:p>
    <w:p w14:paraId="0CA31852">
      <w:pPr>
        <w:numPr>
          <w:ilvl w:val="0"/>
          <w:numId w:val="0"/>
        </w:numPr>
        <w:shd w:val="clear" w:color="auto" w:fill="auto"/>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lang w:val="en-US" w:eastAsia="zh-CN"/>
        </w:rPr>
        <w:t>甲</w:t>
      </w:r>
      <w:r>
        <w:rPr>
          <w:rFonts w:hint="eastAsia" w:ascii="宋体" w:hAnsi="宋体" w:cs="宋体"/>
          <w:b/>
          <w:color w:val="auto"/>
          <w:sz w:val="21"/>
          <w:szCs w:val="21"/>
          <w:highlight w:val="none"/>
        </w:rPr>
        <w:t>方户名：</w:t>
      </w:r>
    </w:p>
    <w:p w14:paraId="06C7FC78">
      <w:pPr>
        <w:shd w:val="clear" w:color="auto" w:fill="auto"/>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开 户 行：</w:t>
      </w:r>
    </w:p>
    <w:p w14:paraId="10BCC36B">
      <w:pPr>
        <w:shd w:val="clear" w:color="auto" w:fill="auto"/>
        <w:spacing w:line="360" w:lineRule="auto"/>
        <w:ind w:right="105" w:rightChars="50" w:firstLine="422" w:firstLineChars="200"/>
        <w:rPr>
          <w:rFonts w:hint="eastAsia"/>
          <w:color w:val="auto"/>
          <w:highlight w:val="none"/>
          <w:lang w:val="en-US" w:eastAsia="zh-CN"/>
        </w:rPr>
      </w:pPr>
      <w:r>
        <w:rPr>
          <w:rFonts w:hint="eastAsia" w:ascii="宋体" w:hAnsi="宋体" w:cs="宋体"/>
          <w:b/>
          <w:color w:val="auto"/>
          <w:sz w:val="21"/>
          <w:szCs w:val="21"/>
          <w:highlight w:val="none"/>
        </w:rPr>
        <w:t>账    号：</w:t>
      </w:r>
    </w:p>
    <w:p w14:paraId="3EB46817">
      <w:pPr>
        <w:pStyle w:val="122"/>
        <w:shd w:val="clear" w:color="auto" w:fill="auto"/>
        <w:kinsoku/>
        <w:autoSpaceDE/>
        <w:autoSpaceDN/>
        <w:adjustRightInd/>
        <w:snapToGrid/>
        <w:spacing w:line="360" w:lineRule="auto"/>
        <w:ind w:firstLine="56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（四）风险储备金要求</w:t>
      </w:r>
    </w:p>
    <w:p w14:paraId="32F14A63">
      <w:pPr>
        <w:pStyle w:val="12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运营合同签订后30日内，乙方向甲方指定账户转入20万作为运营风险储备金，用于平台发生的</w:t>
      </w:r>
      <w:r>
        <w:rPr>
          <w:rFonts w:hint="default" w:ascii="宋体" w:hAnsi="宋体" w:eastAsia="宋体" w:cs="宋体"/>
          <w:color w:val="auto"/>
          <w:sz w:val="21"/>
          <w:szCs w:val="21"/>
          <w:highlight w:val="none"/>
          <w:lang w:val="en-US" w:eastAsia="zh-CN"/>
        </w:rPr>
        <w:t>医疗纠纷、应急赔付、</w:t>
      </w:r>
      <w:r>
        <w:rPr>
          <w:rFonts w:hint="eastAsia" w:ascii="宋体" w:hAnsi="宋体" w:eastAsia="宋体" w:cs="宋体"/>
          <w:color w:val="auto"/>
          <w:sz w:val="21"/>
          <w:szCs w:val="21"/>
          <w:highlight w:val="none"/>
          <w:lang w:val="en-US" w:eastAsia="zh-CN"/>
        </w:rPr>
        <w:t>合同</w:t>
      </w:r>
      <w:r>
        <w:rPr>
          <w:rFonts w:hint="default" w:ascii="宋体" w:hAnsi="宋体" w:eastAsia="宋体" w:cs="宋体"/>
          <w:color w:val="auto"/>
          <w:sz w:val="21"/>
          <w:szCs w:val="21"/>
          <w:highlight w:val="none"/>
          <w:lang w:val="en-US" w:eastAsia="zh-CN"/>
        </w:rPr>
        <w:t>违约</w:t>
      </w:r>
      <w:r>
        <w:rPr>
          <w:rFonts w:hint="eastAsia" w:ascii="宋体" w:hAnsi="宋体" w:eastAsia="宋体" w:cs="宋体"/>
          <w:color w:val="auto"/>
          <w:sz w:val="21"/>
          <w:szCs w:val="21"/>
          <w:highlight w:val="none"/>
          <w:lang w:val="en-US" w:eastAsia="zh-CN"/>
        </w:rPr>
        <w:t>行为等支付</w:t>
      </w:r>
      <w:r>
        <w:rPr>
          <w:rFonts w:hint="default" w:ascii="宋体" w:hAnsi="宋体" w:eastAsia="宋体" w:cs="宋体"/>
          <w:color w:val="auto"/>
          <w:sz w:val="21"/>
          <w:szCs w:val="21"/>
          <w:highlight w:val="none"/>
          <w:lang w:val="en-US" w:eastAsia="zh-CN"/>
        </w:rPr>
        <w:t>，使用后乙方须在30日内足额补足</w:t>
      </w:r>
      <w:r>
        <w:rPr>
          <w:rFonts w:hint="eastAsia" w:ascii="宋体" w:hAnsi="宋体" w:eastAsia="宋体" w:cs="宋体"/>
          <w:color w:val="auto"/>
          <w:sz w:val="21"/>
          <w:szCs w:val="21"/>
          <w:highlight w:val="none"/>
          <w:lang w:val="en-US" w:eastAsia="zh-CN"/>
        </w:rPr>
        <w:t>。当甲、乙双方结束运营30个工作日内，该风险储备金应全额无息退回给到乙方。</w:t>
      </w:r>
    </w:p>
    <w:p w14:paraId="42155371">
      <w:pPr>
        <w:pStyle w:val="122"/>
        <w:keepNext w:val="0"/>
        <w:keepLines w:val="0"/>
        <w:pageBreakBefore w:val="0"/>
        <w:widowControl/>
        <w:numPr>
          <w:ilvl w:val="-1"/>
          <w:numId w:val="0"/>
        </w:numPr>
        <w:shd w:val="clear" w:color="auto" w:fill="auto"/>
        <w:kinsoku/>
        <w:wordWrap/>
        <w:overflowPunct/>
        <w:topLinePunct w:val="0"/>
        <w:autoSpaceDE/>
        <w:autoSpaceDN/>
        <w:bidi w:val="0"/>
        <w:adjustRightInd/>
        <w:snapToGrid/>
        <w:spacing w:line="360" w:lineRule="auto"/>
        <w:ind w:firstLine="211" w:firstLineChars="1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（五）等保相关费用承担</w:t>
      </w:r>
    </w:p>
    <w:p w14:paraId="598EC412">
      <w:pPr>
        <w:pStyle w:val="12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乙方需承担入驻本平台医疗机构三级等保相关费用（如需）。</w:t>
      </w:r>
    </w:p>
    <w:p w14:paraId="1DE5B7D7">
      <w:pPr>
        <w:shd w:val="clear" w:color="auto" w:fill="auto"/>
        <w:kinsoku/>
        <w:autoSpaceDE/>
        <w:autoSpaceDN/>
        <w:adjustRightInd/>
        <w:snapToGrid/>
        <w:spacing w:line="360" w:lineRule="auto"/>
        <w:textAlignment w:val="auto"/>
        <w:rPr>
          <w:rFonts w:hint="eastAsia"/>
          <w:color w:val="auto"/>
          <w:highlight w:val="none"/>
          <w:lang w:eastAsia="zh-CN"/>
        </w:rPr>
      </w:pPr>
      <w:r>
        <w:rPr>
          <w:rFonts w:hint="eastAsia" w:ascii="宋体" w:hAnsi="宋体" w:cs="宋体"/>
          <w:b/>
          <w:bCs/>
          <w:color w:val="auto"/>
          <w:sz w:val="21"/>
          <w:szCs w:val="21"/>
          <w:highlight w:val="none"/>
          <w:lang w:val="en-US" w:eastAsia="zh-CN"/>
        </w:rPr>
        <w:t>第四条 运营服务及要求</w:t>
      </w:r>
    </w:p>
    <w:p w14:paraId="0C9DCF30">
      <w:pPr>
        <w:pStyle w:val="12"/>
        <w:shd w:val="clear" w:color="auto" w:fill="auto"/>
        <w:rPr>
          <w:rFonts w:hint="default"/>
          <w:color w:val="auto"/>
          <w:highlight w:val="none"/>
          <w:lang w:val="en-US" w:eastAsia="zh-CN"/>
        </w:rPr>
      </w:pPr>
      <w:r>
        <w:rPr>
          <w:rFonts w:hint="eastAsia" w:ascii="宋体" w:hAnsi="宋体" w:cs="宋体"/>
          <w:color w:val="auto"/>
          <w:sz w:val="21"/>
          <w:szCs w:val="21"/>
          <w:highlight w:val="none"/>
          <w:lang w:val="en-US" w:eastAsia="zh-CN"/>
        </w:rPr>
        <w:t>（一）乙方提供的运营服务包括但不限于以下内容：</w:t>
      </w:r>
    </w:p>
    <w:p w14:paraId="3ED6B443">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基础</w:t>
      </w:r>
      <w:r>
        <w:rPr>
          <w:rFonts w:hint="eastAsia" w:ascii="宋体" w:hAnsi="宋体" w:eastAsia="宋体" w:cs="宋体"/>
          <w:color w:val="auto"/>
          <w:sz w:val="21"/>
          <w:szCs w:val="21"/>
          <w:highlight w:val="none"/>
          <w:lang w:val="en-US" w:eastAsia="zh-CN"/>
        </w:rPr>
        <w:t>运营</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：负责平台的日常维护、内容更新、用户管理、客户服务等工作，保障平台正常稳定运行，提升用户体验。</w:t>
      </w:r>
    </w:p>
    <w:p w14:paraId="06F56AF0">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2.市场拓展：拓展医疗机构入驻平台，拓展各类医疗服务、健康产品上线平台，推动订单转化与核销，引入AI问诊、数字影像、处方流转、护理上门服务、家庭病床服务等功能模块。</w:t>
      </w:r>
    </w:p>
    <w:p w14:paraId="4E48325A">
      <w:pPr>
        <w:shd w:val="clear" w:color="auto" w:fill="auto"/>
        <w:kinsoku/>
        <w:autoSpaceDE/>
        <w:autoSpaceDN/>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合规管理：严格遵循卫健局、市场监管局等职能部门的相关要求，落实医疗合规、数据安全要求，规范平台运营行为，确保入驻机构、上线业务、交易流程等符合法律法规及监管规定；建立平台运营异常监测机制，及时预警并处置业务风险</w:t>
      </w:r>
      <w:r>
        <w:rPr>
          <w:rFonts w:hint="eastAsia" w:ascii="宋体" w:hAnsi="宋体" w:cs="宋体"/>
          <w:color w:val="auto"/>
          <w:sz w:val="21"/>
          <w:szCs w:val="21"/>
          <w:highlight w:val="none"/>
          <w:lang w:val="en-US" w:eastAsia="zh-CN"/>
        </w:rPr>
        <w:t>。</w:t>
      </w:r>
    </w:p>
    <w:p w14:paraId="26B713B5">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4.业务创新：结合行业发展趋势及用户需求，探索新增运营业务，优化现有业务模式，提升平台营收能力。</w:t>
      </w:r>
    </w:p>
    <w:p w14:paraId="0AD3612A">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5.数据反馈：</w:t>
      </w:r>
      <w:r>
        <w:rPr>
          <w:rFonts w:hint="eastAsia" w:ascii="宋体" w:hAnsi="宋体" w:eastAsia="宋体" w:cs="宋体"/>
          <w:color w:val="auto"/>
          <w:sz w:val="21"/>
          <w:szCs w:val="21"/>
          <w:highlight w:val="none"/>
          <w:lang w:eastAsia="zh-CN"/>
        </w:rPr>
        <w:t>提供对账和结算服务</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当月10日前</w:t>
      </w:r>
      <w:r>
        <w:rPr>
          <w:rFonts w:hint="eastAsia" w:ascii="宋体" w:hAnsi="宋体" w:eastAsia="宋体" w:cs="宋体"/>
          <w:color w:val="auto"/>
          <w:sz w:val="21"/>
          <w:szCs w:val="21"/>
          <w:highlight w:val="none"/>
          <w:lang w:val="en-US" w:eastAsia="zh-CN"/>
        </w:rPr>
        <w:t>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提交平台</w:t>
      </w:r>
      <w:r>
        <w:rPr>
          <w:rFonts w:hint="eastAsia" w:ascii="宋体" w:hAnsi="宋体" w:cs="宋体"/>
          <w:color w:val="auto"/>
          <w:sz w:val="21"/>
          <w:szCs w:val="21"/>
          <w:highlight w:val="none"/>
          <w:lang w:val="en-US" w:eastAsia="zh-CN"/>
        </w:rPr>
        <w:t>上月</w:t>
      </w:r>
      <w:r>
        <w:rPr>
          <w:rFonts w:hint="eastAsia" w:ascii="宋体" w:hAnsi="宋体" w:eastAsia="宋体" w:cs="宋体"/>
          <w:color w:val="auto"/>
          <w:sz w:val="21"/>
          <w:szCs w:val="21"/>
          <w:highlight w:val="none"/>
          <w:lang w:val="en-US" w:eastAsia="zh-CN"/>
        </w:rPr>
        <w:t>运营数据报告，包括用户数据、订单数据、营收数据等，接受</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的监督与考核。</w:t>
      </w:r>
    </w:p>
    <w:p w14:paraId="7BDAA68B">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kern w:val="2"/>
          <w:sz w:val="21"/>
          <w:szCs w:val="21"/>
          <w:highlight w:val="none"/>
          <w:lang w:eastAsia="zh-CN"/>
        </w:rPr>
        <w:t>（二）</w:t>
      </w:r>
      <w:r>
        <w:rPr>
          <w:rFonts w:hint="eastAsia" w:ascii="宋体" w:hAnsi="宋体" w:eastAsia="宋体" w:cs="宋体"/>
          <w:b/>
          <w:bCs/>
          <w:color w:val="auto"/>
          <w:sz w:val="21"/>
          <w:szCs w:val="21"/>
          <w:highlight w:val="none"/>
          <w:lang w:eastAsia="zh-CN"/>
        </w:rPr>
        <w:t>运营要求</w:t>
      </w:r>
    </w:p>
    <w:p w14:paraId="6774167C">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平台用户管理和运营服务</w:t>
      </w:r>
    </w:p>
    <w:p w14:paraId="7AEDF7C9">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lang w:eastAsia="zh-CN"/>
        </w:rPr>
        <w:t>梳理平台角色权限列表清单，当平台角色权限发生变更时，及时更新，并每月定期提供清单。</w:t>
      </w:r>
    </w:p>
    <w:p w14:paraId="77BF5DFC">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lang w:eastAsia="zh-CN"/>
        </w:rPr>
        <w:t>平台后台管理工作，定期对平台内容数据进行审核，确保用户能够正常访问和使用平台的功能。</w:t>
      </w:r>
    </w:p>
    <w:p w14:paraId="48343635">
      <w:pPr>
        <w:shd w:val="clear" w:color="auto" w:fill="auto"/>
        <w:spacing w:line="360" w:lineRule="auto"/>
        <w:ind w:firstLine="420" w:firstLineChars="200"/>
        <w:rPr>
          <w:rFonts w:hint="eastAsia"/>
          <w:color w:val="auto"/>
          <w:highlight w:val="none"/>
          <w:lang w:eastAsia="zh-CN"/>
        </w:rPr>
      </w:pPr>
      <w:r>
        <w:rPr>
          <w:rFonts w:hint="eastAsia" w:ascii="宋体" w:hAnsi="宋体" w:cs="宋体"/>
          <w:color w:val="auto"/>
          <w:sz w:val="21"/>
          <w:szCs w:val="21"/>
          <w:highlight w:val="none"/>
          <w:lang w:eastAsia="zh-CN"/>
        </w:rPr>
        <w:t>③</w:t>
      </w:r>
      <w:r>
        <w:rPr>
          <w:rFonts w:hint="eastAsia" w:ascii="宋体" w:hAnsi="宋体" w:cs="宋体"/>
          <w:color w:val="auto"/>
          <w:sz w:val="21"/>
          <w:szCs w:val="21"/>
          <w:highlight w:val="none"/>
          <w:lang w:val="en-US" w:eastAsia="zh-CN"/>
        </w:rPr>
        <w:t>乙方需</w:t>
      </w:r>
      <w:r>
        <w:rPr>
          <w:rFonts w:hint="eastAsia" w:ascii="宋体" w:hAnsi="宋体" w:eastAsia="宋体" w:cs="宋体"/>
          <w:color w:val="auto"/>
          <w:sz w:val="21"/>
          <w:szCs w:val="21"/>
          <w:highlight w:val="none"/>
          <w:lang w:eastAsia="zh-CN"/>
        </w:rPr>
        <w:t>制定详细的年度、季度、月度运营计划、</w:t>
      </w:r>
      <w:r>
        <w:rPr>
          <w:rFonts w:hint="eastAsia" w:ascii="宋体" w:hAnsi="宋体" w:eastAsia="宋体" w:cs="宋体"/>
          <w:color w:val="auto"/>
          <w:sz w:val="21"/>
          <w:szCs w:val="21"/>
          <w:highlight w:val="none"/>
          <w:lang w:val="en-US" w:eastAsia="zh-CN"/>
        </w:rPr>
        <w:t>目标</w:t>
      </w:r>
      <w:r>
        <w:rPr>
          <w:rFonts w:hint="eastAsia" w:ascii="宋体" w:hAnsi="宋体" w:eastAsia="宋体" w:cs="宋体"/>
          <w:color w:val="auto"/>
          <w:sz w:val="21"/>
          <w:szCs w:val="21"/>
          <w:highlight w:val="none"/>
          <w:lang w:eastAsia="zh-CN"/>
        </w:rPr>
        <w:t>及预算，报甲方审核备案后执</w:t>
      </w:r>
      <w:r>
        <w:rPr>
          <w:rFonts w:hint="eastAsia" w:ascii="宋体" w:hAnsi="宋体" w:eastAsia="宋体" w:cs="宋体"/>
          <w:color w:val="auto"/>
          <w:sz w:val="21"/>
          <w:szCs w:val="21"/>
          <w:highlight w:val="none"/>
          <w:lang w:val="en-US" w:eastAsia="zh-CN"/>
        </w:rPr>
        <w:t>行</w:t>
      </w:r>
      <w:r>
        <w:rPr>
          <w:rFonts w:hint="eastAsia" w:ascii="宋体" w:hAnsi="宋体" w:eastAsia="宋体" w:cs="宋体"/>
          <w:color w:val="auto"/>
          <w:sz w:val="21"/>
          <w:szCs w:val="21"/>
          <w:highlight w:val="none"/>
          <w:lang w:eastAsia="zh-CN"/>
        </w:rPr>
        <w:t>，比如上线科室、上线医生数量，患者注册数量，咨询订单数量，套餐销售量等。</w:t>
      </w:r>
    </w:p>
    <w:p w14:paraId="4B62EC8D">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数据运营</w:t>
      </w:r>
    </w:p>
    <w:p w14:paraId="0BF8F3E1">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在法律允许的情况下，</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根据数据运营需求的流程，协助</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eastAsia="zh-CN"/>
        </w:rPr>
        <w:t>对平台内数据进行统计和分析，向</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eastAsia="zh-CN"/>
        </w:rPr>
        <w:t>方提供业务运营分析所必要的运营数据。</w:t>
      </w:r>
    </w:p>
    <w:p w14:paraId="5BC499B4">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业务推广服务</w:t>
      </w:r>
    </w:p>
    <w:p w14:paraId="1FCB7184">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须具备良好的平台运营及技术支持能力，配备经验丰富的项目团队，确保平台内容更新、数据指标及活动执行等任务达标。</w:t>
      </w:r>
      <w:r>
        <w:rPr>
          <w:rFonts w:hint="eastAsia" w:ascii="宋体" w:hAnsi="宋体" w:eastAsia="宋体" w:cs="宋体"/>
          <w:color w:val="auto"/>
          <w:sz w:val="21"/>
          <w:szCs w:val="21"/>
          <w:highlight w:val="none"/>
          <w:lang w:val="en-US" w:eastAsia="zh-CN"/>
        </w:rPr>
        <w:t>在服务过程中，</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需保障发布内容的安全性、合法性，确保符合行业政策导向及宣传规范，避免出现内容违规或技术安全问题，维护平台的权威性与公信力。</w:t>
      </w:r>
    </w:p>
    <w:p w14:paraId="5A585C28">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①组建项目运营推广团队</w:t>
      </w:r>
    </w:p>
    <w:p w14:paraId="67BDBF89">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需派驻运营经理1名，负责平台的整体运营管理工作，制定平台的运营策略和发展规划，运营专员</w:t>
      </w:r>
      <w:r>
        <w:rPr>
          <w:rFonts w:hint="eastAsia" w:ascii="宋体" w:hAnsi="宋体" w:eastAsia="宋体" w:cs="宋体"/>
          <w:color w:val="auto"/>
          <w:sz w:val="21"/>
          <w:szCs w:val="21"/>
          <w:highlight w:val="none"/>
          <w:lang w:val="en-US" w:eastAsia="zh-CN"/>
        </w:rPr>
        <w:t>至少1</w:t>
      </w:r>
      <w:r>
        <w:rPr>
          <w:rFonts w:hint="eastAsia" w:ascii="宋体" w:hAnsi="宋体" w:eastAsia="宋体" w:cs="宋体"/>
          <w:color w:val="auto"/>
          <w:sz w:val="21"/>
          <w:szCs w:val="21"/>
          <w:highlight w:val="none"/>
          <w:lang w:eastAsia="zh-CN"/>
        </w:rPr>
        <w:t>名，负责平台的日常运营工作，包括用户管理、内容更新、数据分析等，提供线下推广服务</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线上运营活动的推广及面向医院</w:t>
      </w:r>
      <w:r>
        <w:rPr>
          <w:rFonts w:hint="eastAsia" w:ascii="宋体" w:hAnsi="宋体" w:eastAsia="宋体" w:cs="宋体"/>
          <w:color w:val="auto"/>
          <w:sz w:val="21"/>
          <w:szCs w:val="21"/>
          <w:highlight w:val="none"/>
          <w:lang w:val="en-US" w:eastAsia="zh-CN"/>
        </w:rPr>
        <w:t>、医生</w:t>
      </w:r>
      <w:r>
        <w:rPr>
          <w:rFonts w:hint="eastAsia" w:ascii="宋体" w:hAnsi="宋体" w:eastAsia="宋体" w:cs="宋体"/>
          <w:color w:val="auto"/>
          <w:sz w:val="21"/>
          <w:szCs w:val="21"/>
          <w:highlight w:val="none"/>
          <w:lang w:eastAsia="zh-CN"/>
        </w:rPr>
        <w:t>培训协助线下运营推广，促进平台成为各大医疗机构线上线下的流量入口，协助</w:t>
      </w:r>
      <w:r>
        <w:rPr>
          <w:rFonts w:hint="eastAsia" w:ascii="宋体" w:hAnsi="宋体" w:eastAsia="宋体" w:cs="宋体"/>
          <w:color w:val="auto"/>
          <w:sz w:val="21"/>
          <w:szCs w:val="21"/>
          <w:highlight w:val="none"/>
          <w:lang w:val="en-US" w:eastAsia="zh-CN"/>
        </w:rPr>
        <w:t>招募</w:t>
      </w:r>
      <w:r>
        <w:rPr>
          <w:rFonts w:hint="eastAsia" w:ascii="宋体" w:hAnsi="宋体" w:eastAsia="宋体" w:cs="宋体"/>
          <w:color w:val="auto"/>
          <w:sz w:val="21"/>
          <w:szCs w:val="21"/>
          <w:highlight w:val="none"/>
          <w:lang w:eastAsia="zh-CN"/>
        </w:rPr>
        <w:t>方达成每季度的经营指标。</w:t>
      </w:r>
    </w:p>
    <w:p w14:paraId="4E4CCBD8">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②医院铺设物料推广</w:t>
      </w:r>
    </w:p>
    <w:p w14:paraId="65CC20ED">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乙方负责全院铺设推广物料（展架/海报/台签/折页），展架铺设到人流量大的区域增加曝光率，折页、台卡落实到各分诊点、导诊台，引导患者自发进行扫码注册。</w:t>
      </w:r>
    </w:p>
    <w:p w14:paraId="1E9B95E7">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③开诊义诊活动推广</w:t>
      </w:r>
    </w:p>
    <w:p w14:paraId="56535DEE">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乙方可借助医院义诊活动，准备线下物料并提供人员现场指导宣传互联网功能及用户注册。</w:t>
      </w:r>
    </w:p>
    <w:p w14:paraId="702CA9F1">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④协助医院公众发送启动推文</w:t>
      </w:r>
    </w:p>
    <w:p w14:paraId="1CE3ECC8">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乙方利用医院公众号发布平台宣传软文，呼吁全院转发，形成规模效应。</w:t>
      </w:r>
    </w:p>
    <w:p w14:paraId="799F15C2">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⑤医疗机构预约挂号考核制度</w:t>
      </w:r>
    </w:p>
    <w:p w14:paraId="54254A22">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乙方须推动三水卫健对区内机构进行每月预约挂号量考核，并每月向卫健提供区域各机构挂号数据，坚定落实考核制度，提高医院对平台的重视和使用。</w:t>
      </w:r>
    </w:p>
    <w:p w14:paraId="613D0DA1">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⑥新媒体运营</w:t>
      </w:r>
    </w:p>
    <w:p w14:paraId="1ECC59A9">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乙方负责新媒体运营公众号、视频号、小红书、抖音、内容产出，促进医院、药店、体检中心、企业、保险、政府合作，负责信息流、搜索、短视频投放、ROI 管控。</w:t>
      </w:r>
    </w:p>
    <w:p w14:paraId="3F74A55C">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⑦</w:t>
      </w:r>
      <w:r>
        <w:rPr>
          <w:rFonts w:hint="eastAsia" w:ascii="宋体" w:hAnsi="宋体" w:eastAsia="宋体" w:cs="宋体"/>
          <w:b w:val="0"/>
          <w:bCs w:val="0"/>
          <w:color w:val="auto"/>
          <w:sz w:val="21"/>
          <w:szCs w:val="21"/>
          <w:highlight w:val="none"/>
          <w:lang w:eastAsia="zh-CN"/>
        </w:rPr>
        <w:t>分析、挖掘入驻机构的特色服务</w:t>
      </w:r>
    </w:p>
    <w:p w14:paraId="67713E5B">
      <w:pPr>
        <w:shd w:val="clear" w:color="auto" w:fill="auto"/>
        <w:kinsoku/>
        <w:autoSpaceDE/>
        <w:autoSpaceDN/>
        <w:adjustRightInd/>
        <w:snapToGrid/>
        <w:spacing w:line="360" w:lineRule="auto"/>
        <w:ind w:firstLine="420" w:firstLineChars="200"/>
        <w:textAlignment w:val="auto"/>
        <w:rPr>
          <w:rFonts w:hint="eastAsia"/>
          <w:color w:val="auto"/>
          <w:highlight w:val="none"/>
          <w:lang w:val="en-US" w:eastAsia="zh-CN"/>
        </w:rPr>
      </w:pPr>
      <w:r>
        <w:rPr>
          <w:rFonts w:hint="eastAsia" w:ascii="宋体" w:hAnsi="宋体" w:eastAsia="宋体" w:cs="宋体"/>
          <w:color w:val="auto"/>
          <w:sz w:val="21"/>
          <w:szCs w:val="21"/>
          <w:highlight w:val="none"/>
          <w:lang w:val="en-US" w:eastAsia="zh-CN"/>
        </w:rPr>
        <w:t>乙方积极</w:t>
      </w:r>
      <w:r>
        <w:rPr>
          <w:rFonts w:hint="eastAsia" w:ascii="宋体" w:hAnsi="宋体" w:eastAsia="宋体" w:cs="宋体"/>
          <w:color w:val="auto"/>
          <w:sz w:val="21"/>
          <w:szCs w:val="21"/>
          <w:highlight w:val="none"/>
          <w:lang w:eastAsia="zh-CN"/>
        </w:rPr>
        <w:t>开展品牌包装、套餐设计上线、设计推广宣传材料和多渠道运营推广，</w:t>
      </w:r>
      <w:r>
        <w:rPr>
          <w:rFonts w:hint="eastAsia" w:ascii="宋体" w:hAnsi="宋体" w:eastAsia="宋体" w:cs="宋体"/>
          <w:color w:val="auto"/>
          <w:sz w:val="21"/>
          <w:szCs w:val="21"/>
          <w:highlight w:val="none"/>
          <w:lang w:val="en-US" w:eastAsia="zh-CN"/>
        </w:rPr>
        <w:t>按</w:t>
      </w:r>
      <w:r>
        <w:rPr>
          <w:rFonts w:hint="eastAsia" w:ascii="宋体" w:hAnsi="宋体" w:eastAsia="宋体" w:cs="宋体"/>
          <w:color w:val="auto"/>
          <w:sz w:val="21"/>
          <w:szCs w:val="21"/>
          <w:highlight w:val="none"/>
          <w:lang w:eastAsia="zh-CN"/>
        </w:rPr>
        <w:t>要求提供设计标准、设计图，包括但不限于界面布局、色彩搭配、字体选择、图片和图标、视频设计以及交互设计</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eastAsia="zh-CN"/>
        </w:rPr>
        <w:t>。</w:t>
      </w:r>
    </w:p>
    <w:p w14:paraId="46EEB854">
      <w:pPr>
        <w:shd w:val="clear" w:color="auto" w:fill="auto"/>
        <w:kinsoku/>
        <w:autoSpaceDE/>
        <w:autoSpaceDN/>
        <w:adjustRightInd/>
        <w:snapToGrid/>
        <w:spacing w:line="360" w:lineRule="auto"/>
        <w:ind w:firstLine="422" w:firstLineChars="200"/>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4.技术培训</w:t>
      </w:r>
    </w:p>
    <w:p w14:paraId="1340C7D5">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负责协助</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lang w:eastAsia="zh-CN"/>
        </w:rPr>
        <w:t>对平台数字内容进行技术培训、指导、服务，配合机构入驻的IT对接、配置、培训和问题咨询等服务，协助医院组建互联网医院服务团队，培训业务使用和运营推广工作。</w:t>
      </w:r>
    </w:p>
    <w:p w14:paraId="2ACD8643">
      <w:pPr>
        <w:pStyle w:val="12"/>
        <w:shd w:val="clear" w:color="auto" w:fil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第五条 考核要求</w:t>
      </w:r>
    </w:p>
    <w:p w14:paraId="5B6EAD14">
      <w:pPr>
        <w:shd w:val="clear" w:color="auto" w:fill="auto"/>
        <w:kinsoku/>
        <w:autoSpaceDE/>
        <w:autoSpaceDN/>
        <w:adjustRightInd/>
        <w:snapToGrid/>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甲方每季度对乙方的运营服务进行全面考核，乙方应按照响应文件内容及合同要求提供运营服务及保证服务高质量进行，如在运营过程中未与甲方协商，擅自删减运营内容或降低服务质量，甲方可向乙方以口头或者书面形式发起投诉，责令定期整改。如乙方整改效果不达预期（15个工作日内），严重违反合同约定，导致合同目的无法实现，甲方有权终止合同</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乙方需承担全部法律责任及经济赔偿。</w:t>
      </w:r>
      <w:r>
        <w:rPr>
          <w:rFonts w:hint="eastAsia" w:ascii="宋体" w:hAnsi="宋体" w:cs="宋体"/>
          <w:b w:val="0"/>
          <w:bCs w:val="0"/>
          <w:color w:val="auto"/>
          <w:sz w:val="21"/>
          <w:szCs w:val="21"/>
          <w:highlight w:val="none"/>
          <w:lang w:val="en-US" w:eastAsia="zh-CN"/>
        </w:rPr>
        <w:t>具体量化考核标准详见附件，可根据实际运营需要调整考核标准。</w:t>
      </w:r>
    </w:p>
    <w:p w14:paraId="2C43132A">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第六条 退出机制</w:t>
      </w:r>
    </w:p>
    <w:p w14:paraId="559D962E">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为保障平稳过渡、维护平台正常运营及双方合法权益，针对</w:t>
      </w:r>
      <w:r>
        <w:rPr>
          <w:rFonts w:hint="eastAsia" w:ascii="宋体" w:hAnsi="宋体" w:cs="宋体"/>
          <w:b w:val="0"/>
          <w:bCs w:val="0"/>
          <w:color w:val="auto"/>
          <w:sz w:val="21"/>
          <w:szCs w:val="21"/>
          <w:highlight w:val="none"/>
          <w:lang w:val="en-US" w:eastAsia="zh-CN"/>
        </w:rPr>
        <w:t>运营</w:t>
      </w:r>
      <w:r>
        <w:rPr>
          <w:rFonts w:hint="eastAsia" w:ascii="宋体" w:hAnsi="宋体" w:eastAsia="宋体" w:cs="宋体"/>
          <w:b w:val="0"/>
          <w:bCs w:val="0"/>
          <w:color w:val="auto"/>
          <w:sz w:val="21"/>
          <w:szCs w:val="21"/>
          <w:highlight w:val="none"/>
          <w:lang w:val="en-US" w:eastAsia="zh-CN"/>
        </w:rPr>
        <w:t>期间各类退出情形，制定本退出机制，所有退出行为均需遵循提前报备、清算兜底、平稳交接的原则，具体分类及执行规则如下：</w:t>
      </w:r>
    </w:p>
    <w:p w14:paraId="0464965C">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w:t>
      </w:r>
      <w:r>
        <w:rPr>
          <w:rFonts w:hint="eastAsia" w:ascii="宋体" w:hAnsi="宋体" w:cs="宋体"/>
          <w:b/>
          <w:bCs/>
          <w:color w:val="auto"/>
          <w:sz w:val="21"/>
          <w:szCs w:val="21"/>
          <w:highlight w:val="none"/>
          <w:lang w:val="en-US" w:eastAsia="zh-CN"/>
        </w:rPr>
        <w:t>运营</w:t>
      </w:r>
      <w:r>
        <w:rPr>
          <w:rFonts w:hint="eastAsia" w:ascii="宋体" w:hAnsi="宋体" w:eastAsia="宋体" w:cs="宋体"/>
          <w:b/>
          <w:bCs/>
          <w:color w:val="auto"/>
          <w:sz w:val="21"/>
          <w:szCs w:val="21"/>
          <w:highlight w:val="none"/>
          <w:lang w:val="en-US" w:eastAsia="zh-CN"/>
        </w:rPr>
        <w:t>期满正常退出</w:t>
      </w:r>
    </w:p>
    <w:p w14:paraId="09153419">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运营</w:t>
      </w:r>
      <w:r>
        <w:rPr>
          <w:rFonts w:hint="eastAsia" w:ascii="宋体" w:hAnsi="宋体" w:eastAsia="宋体" w:cs="宋体"/>
          <w:b w:val="0"/>
          <w:bCs w:val="0"/>
          <w:color w:val="auto"/>
          <w:sz w:val="21"/>
          <w:szCs w:val="21"/>
          <w:highlight w:val="none"/>
          <w:lang w:val="en-US" w:eastAsia="zh-CN"/>
        </w:rPr>
        <w:t>期限届满前</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0日，双方需就是否续约进行书面沟通；若双方均无意续约，乙方按本机制启动正常退出流程。</w:t>
      </w:r>
    </w:p>
    <w:p w14:paraId="7D95F533">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退出流程：乙方在</w:t>
      </w:r>
      <w:r>
        <w:rPr>
          <w:rFonts w:hint="eastAsia" w:ascii="宋体" w:hAnsi="宋体" w:cs="宋体"/>
          <w:b w:val="0"/>
          <w:bCs w:val="0"/>
          <w:color w:val="auto"/>
          <w:sz w:val="21"/>
          <w:szCs w:val="21"/>
          <w:highlight w:val="none"/>
          <w:lang w:val="en-US" w:eastAsia="zh-CN"/>
        </w:rPr>
        <w:t>运营</w:t>
      </w:r>
      <w:r>
        <w:rPr>
          <w:rFonts w:hint="eastAsia" w:ascii="宋体" w:hAnsi="宋体" w:eastAsia="宋体" w:cs="宋体"/>
          <w:b w:val="0"/>
          <w:bCs w:val="0"/>
          <w:color w:val="auto"/>
          <w:sz w:val="21"/>
          <w:szCs w:val="21"/>
          <w:highlight w:val="none"/>
          <w:lang w:val="en-US" w:eastAsia="zh-CN"/>
        </w:rPr>
        <w:t>期满前30日，向甲方提交退出方案及交接清单，完成平台运营数据、入驻机构对接、用户服务衔接、业务合同移交、财务对账等全部交接工作。</w:t>
      </w:r>
    </w:p>
    <w:p w14:paraId="6F961A25">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清算规则：双方完成年度营收核算、分成款项结清，乙方足额支付保底分成（若有差额）及全部应付款项；无遗留纠纷、债务的，合</w:t>
      </w:r>
      <w:r>
        <w:rPr>
          <w:rFonts w:hint="eastAsia" w:ascii="宋体" w:hAnsi="宋体" w:cs="宋体"/>
          <w:b w:val="0"/>
          <w:bCs w:val="0"/>
          <w:color w:val="auto"/>
          <w:sz w:val="21"/>
          <w:szCs w:val="21"/>
          <w:highlight w:val="none"/>
          <w:lang w:val="en-US" w:eastAsia="zh-CN"/>
        </w:rPr>
        <w:t>同</w:t>
      </w:r>
      <w:r>
        <w:rPr>
          <w:rFonts w:hint="eastAsia" w:ascii="宋体" w:hAnsi="宋体" w:eastAsia="宋体" w:cs="宋体"/>
          <w:b w:val="0"/>
          <w:bCs w:val="0"/>
          <w:color w:val="auto"/>
          <w:sz w:val="21"/>
          <w:szCs w:val="21"/>
          <w:highlight w:val="none"/>
          <w:lang w:val="en-US" w:eastAsia="zh-CN"/>
        </w:rPr>
        <w:t>关系自动终止。</w:t>
      </w:r>
    </w:p>
    <w:p w14:paraId="4DCB310D">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交接要求：乙方需配合甲方完成</w:t>
      </w:r>
      <w:r>
        <w:rPr>
          <w:rFonts w:hint="eastAsia" w:ascii="宋体" w:hAnsi="宋体" w:cs="宋体"/>
          <w:b w:val="0"/>
          <w:bCs w:val="0"/>
          <w:color w:val="auto"/>
          <w:sz w:val="21"/>
          <w:szCs w:val="21"/>
          <w:highlight w:val="none"/>
          <w:lang w:val="en-US" w:eastAsia="zh-CN"/>
        </w:rPr>
        <w:t>与</w:t>
      </w:r>
      <w:r>
        <w:rPr>
          <w:rFonts w:hint="eastAsia" w:ascii="宋体" w:hAnsi="宋体" w:eastAsia="宋体" w:cs="宋体"/>
          <w:b w:val="0"/>
          <w:bCs w:val="0"/>
          <w:color w:val="auto"/>
          <w:sz w:val="21"/>
          <w:szCs w:val="21"/>
          <w:highlight w:val="none"/>
          <w:lang w:val="en-US" w:eastAsia="zh-CN"/>
        </w:rPr>
        <w:t>新</w:t>
      </w:r>
      <w:r>
        <w:rPr>
          <w:rFonts w:hint="eastAsia" w:ascii="宋体" w:hAnsi="宋体" w:cs="宋体"/>
          <w:b w:val="0"/>
          <w:bCs w:val="0"/>
          <w:color w:val="auto"/>
          <w:sz w:val="21"/>
          <w:szCs w:val="21"/>
          <w:highlight w:val="none"/>
          <w:lang w:val="en-US" w:eastAsia="zh-CN"/>
        </w:rPr>
        <w:t>运营</w:t>
      </w:r>
      <w:r>
        <w:rPr>
          <w:rFonts w:hint="eastAsia" w:ascii="宋体" w:hAnsi="宋体" w:eastAsia="宋体" w:cs="宋体"/>
          <w:b w:val="0"/>
          <w:bCs w:val="0"/>
          <w:color w:val="auto"/>
          <w:sz w:val="21"/>
          <w:szCs w:val="21"/>
          <w:highlight w:val="none"/>
          <w:lang w:val="en-US" w:eastAsia="zh-CN"/>
        </w:rPr>
        <w:t>方（若有）的业务对接，过渡期不少于30日，确保平台服务不中断、入驻机构及用户权益不受损。</w:t>
      </w:r>
    </w:p>
    <w:p w14:paraId="04E2D5C8">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（二）乙方主动申请退出</w:t>
      </w:r>
    </w:p>
    <w:p w14:paraId="51D808C3">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乙方因自身经营、战略调整等原因，需提前终止合</w:t>
      </w:r>
      <w:r>
        <w:rPr>
          <w:rFonts w:hint="eastAsia" w:ascii="宋体" w:hAnsi="宋体" w:cs="宋体"/>
          <w:b w:val="0"/>
          <w:bCs w:val="0"/>
          <w:color w:val="auto"/>
          <w:sz w:val="21"/>
          <w:szCs w:val="21"/>
          <w:highlight w:val="none"/>
          <w:lang w:val="en-US" w:eastAsia="zh-CN"/>
        </w:rPr>
        <w:t>同</w:t>
      </w:r>
      <w:r>
        <w:rPr>
          <w:rFonts w:hint="eastAsia" w:ascii="宋体" w:hAnsi="宋体" w:eastAsia="宋体" w:cs="宋体"/>
          <w:b w:val="0"/>
          <w:bCs w:val="0"/>
          <w:color w:val="auto"/>
          <w:sz w:val="21"/>
          <w:szCs w:val="21"/>
          <w:highlight w:val="none"/>
          <w:lang w:val="en-US" w:eastAsia="zh-CN"/>
        </w:rPr>
        <w:t>的，应提前90日向甲方提交书面退出申请，详细说明退出原因、时间计划及交接方案。</w:t>
      </w:r>
    </w:p>
    <w:p w14:paraId="31ABD640">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退出流程：甲方收到申请后30日内完成审核，审核通过后方可启动退出；未经审批擅自停止运营的，视为严重违约。</w:t>
      </w:r>
    </w:p>
    <w:p w14:paraId="10207972">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兜底责任：乙方主动退出的，仍需履行实际运营周期对应的保底分成及</w:t>
      </w:r>
      <w:r>
        <w:rPr>
          <w:rFonts w:hint="eastAsia" w:ascii="宋体" w:hAnsi="宋体" w:cs="宋体"/>
          <w:b w:val="0"/>
          <w:bCs w:val="0"/>
          <w:color w:val="auto"/>
          <w:sz w:val="21"/>
          <w:szCs w:val="21"/>
          <w:highlight w:val="none"/>
          <w:lang w:val="en-US" w:eastAsia="zh-CN"/>
        </w:rPr>
        <w:t>增效</w:t>
      </w:r>
      <w:r>
        <w:rPr>
          <w:rFonts w:hint="eastAsia" w:ascii="宋体" w:hAnsi="宋体" w:eastAsia="宋体" w:cs="宋体"/>
          <w:b w:val="0"/>
          <w:bCs w:val="0"/>
          <w:color w:val="auto"/>
          <w:sz w:val="21"/>
          <w:szCs w:val="21"/>
          <w:highlight w:val="none"/>
          <w:lang w:val="en-US" w:eastAsia="zh-CN"/>
        </w:rPr>
        <w:t>分成（如有）外，结清全部</w:t>
      </w:r>
      <w:r>
        <w:rPr>
          <w:rFonts w:hint="eastAsia" w:ascii="宋体" w:hAnsi="宋体" w:cs="宋体"/>
          <w:b w:val="0"/>
          <w:bCs w:val="0"/>
          <w:color w:val="auto"/>
          <w:sz w:val="21"/>
          <w:szCs w:val="21"/>
          <w:highlight w:val="none"/>
          <w:lang w:val="en-US" w:eastAsia="zh-CN"/>
        </w:rPr>
        <w:t>增效</w:t>
      </w:r>
      <w:r>
        <w:rPr>
          <w:rFonts w:hint="eastAsia" w:ascii="宋体" w:hAnsi="宋体" w:eastAsia="宋体" w:cs="宋体"/>
          <w:b w:val="0"/>
          <w:bCs w:val="0"/>
          <w:color w:val="auto"/>
          <w:sz w:val="21"/>
          <w:szCs w:val="21"/>
          <w:highlight w:val="none"/>
          <w:lang w:val="en-US" w:eastAsia="zh-CN"/>
        </w:rPr>
        <w:t>分成款项、运营债务及违约金（若有）；承担因提前退出造成的平台损失、入驻机构违约赔偿等相关费用。</w:t>
      </w:r>
    </w:p>
    <w:p w14:paraId="6F055196">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交接时限：自审批通过之日起60日内，完成全部运营工作、资产资料、业务资源的交接，派驻专人配合过渡期运维，直至交接完毕。</w:t>
      </w:r>
    </w:p>
    <w:p w14:paraId="69D6BCA2">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（三）乙方强制被动退出（违约/考核不合格）</w:t>
      </w:r>
    </w:p>
    <w:p w14:paraId="4D27E2A0">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乙方存在以下行为之一的，甲方有权单方面解除合</w:t>
      </w:r>
      <w:r>
        <w:rPr>
          <w:rFonts w:hint="eastAsia" w:ascii="宋体" w:hAnsi="宋体" w:cs="宋体"/>
          <w:b w:val="0"/>
          <w:bCs w:val="0"/>
          <w:color w:val="auto"/>
          <w:sz w:val="21"/>
          <w:szCs w:val="21"/>
          <w:highlight w:val="none"/>
          <w:lang w:val="en-US" w:eastAsia="zh-CN"/>
        </w:rPr>
        <w:t>同</w:t>
      </w:r>
      <w:r>
        <w:rPr>
          <w:rFonts w:hint="eastAsia" w:ascii="宋体" w:hAnsi="宋体" w:eastAsia="宋体" w:cs="宋体"/>
          <w:b w:val="0"/>
          <w:bCs w:val="0"/>
          <w:color w:val="auto"/>
          <w:sz w:val="21"/>
          <w:szCs w:val="21"/>
          <w:highlight w:val="none"/>
          <w:lang w:val="en-US" w:eastAsia="zh-CN"/>
        </w:rPr>
        <w:t>，责令乙方强制退出，且不承担任何补偿责任：</w:t>
      </w:r>
    </w:p>
    <w:p w14:paraId="300D5665">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1.未按约定支付分成款项、保底差额，逾期超过30日的；</w:t>
      </w:r>
    </w:p>
    <w:p w14:paraId="661C536C">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2.年度考核不合格，经限期整改后仍未达标，无法满足平台运营需求的；</w:t>
      </w:r>
    </w:p>
    <w:p w14:paraId="1F93820C">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3.运营过程中出现重大违规行为，被卫健、市场监管等部门处罚，导致平台资质受损、停业整顿的；</w:t>
      </w:r>
    </w:p>
    <w:p w14:paraId="5610C3FE">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4.擅自转让运营权、截留平台营收、泄露平台核心数据及商业秘密的；</w:t>
      </w:r>
    </w:p>
    <w:p w14:paraId="4A7884DE">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5.因运营管理不善，引发重大用户投诉、群体性纠纷，造成恶劣社会影响的；</w:t>
      </w:r>
    </w:p>
    <w:p w14:paraId="4BC34287">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6.出现资不抵债、破产清算、被列入失信被执行人等丧失履约能力情形的。</w:t>
      </w:r>
    </w:p>
    <w:p w14:paraId="5EAA653C">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退出流程：甲方发出书面解约通知，明确退出时限（一般为15日内），乙方必须无条件配合交接。</w:t>
      </w:r>
    </w:p>
    <w:p w14:paraId="0EDA7ECA">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乙方除足额结清实际运营周期对应的保底分成及</w:t>
      </w:r>
      <w:r>
        <w:rPr>
          <w:rFonts w:hint="eastAsia" w:ascii="宋体" w:hAnsi="宋体" w:cs="宋体"/>
          <w:b w:val="0"/>
          <w:bCs w:val="0"/>
          <w:color w:val="auto"/>
          <w:sz w:val="21"/>
          <w:szCs w:val="21"/>
          <w:highlight w:val="none"/>
          <w:lang w:val="en-US" w:eastAsia="zh-CN"/>
        </w:rPr>
        <w:t>增效</w:t>
      </w:r>
      <w:r>
        <w:rPr>
          <w:rFonts w:hint="eastAsia" w:ascii="宋体" w:hAnsi="宋体" w:eastAsia="宋体" w:cs="宋体"/>
          <w:b w:val="0"/>
          <w:bCs w:val="0"/>
          <w:color w:val="auto"/>
          <w:sz w:val="21"/>
          <w:szCs w:val="21"/>
          <w:highlight w:val="none"/>
          <w:lang w:val="en-US" w:eastAsia="zh-CN"/>
        </w:rPr>
        <w:t>分成（如有）外，还需按年度保底分成额度的25%支付违约金，并赔偿因此造成的平台商誉损失、入驻机构违约赔偿、第三方索赔等相关费用。</w:t>
      </w:r>
      <w:r>
        <w:rPr>
          <w:rFonts w:hint="eastAsia" w:ascii="宋体" w:hAnsi="宋体" w:eastAsia="宋体" w:cs="宋体"/>
          <w:b/>
          <w:bCs/>
          <w:color w:val="auto"/>
          <w:sz w:val="21"/>
          <w:szCs w:val="21"/>
          <w:highlight w:val="none"/>
          <w:lang w:val="en-US" w:eastAsia="zh-CN"/>
        </w:rPr>
        <w:t>（四）不可抗力/政策调整退出</w:t>
      </w:r>
    </w:p>
    <w:p w14:paraId="63F4F0AF">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因地震、火灾、疫情等不可抗力，或国家、地方互联网医疗政策重大调整，导致平台无法继续运营、合作目的无法实现的，双方可协商无责退出。</w:t>
      </w:r>
    </w:p>
    <w:p w14:paraId="3FE87133">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双方互不承担违约责任，按实际运营周期核算营收与分成，乙方结清已产生的</w:t>
      </w:r>
      <w:r>
        <w:rPr>
          <w:rFonts w:hint="eastAsia" w:ascii="宋体" w:hAnsi="宋体" w:cs="宋体"/>
          <w:b w:val="0"/>
          <w:bCs w:val="0"/>
          <w:color w:val="auto"/>
          <w:sz w:val="21"/>
          <w:szCs w:val="21"/>
          <w:highlight w:val="none"/>
          <w:lang w:val="en-US" w:eastAsia="zh-CN"/>
        </w:rPr>
        <w:t>增效</w:t>
      </w:r>
      <w:r>
        <w:rPr>
          <w:rFonts w:hint="eastAsia" w:ascii="宋体" w:hAnsi="宋体" w:eastAsia="宋体" w:cs="宋体"/>
          <w:b w:val="0"/>
          <w:bCs w:val="0"/>
          <w:color w:val="auto"/>
          <w:sz w:val="21"/>
          <w:szCs w:val="21"/>
          <w:highlight w:val="none"/>
          <w:lang w:val="en-US" w:eastAsia="zh-CN"/>
        </w:rPr>
        <w:t>费用，完成剩余业务、用户数据的平稳交接。</w:t>
      </w:r>
    </w:p>
    <w:p w14:paraId="53447794">
      <w:pPr>
        <w:shd w:val="clear" w:color="auto" w:fill="auto"/>
        <w:kinsoku/>
        <w:autoSpaceDE/>
        <w:autoSpaceDN/>
        <w:adjustRightInd/>
        <w:snapToGrid/>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共同做好入驻机构、用户的解释安抚工作，依法处理未完结订单、服务合同及相关债权债务，尽可能降低各方损失。</w:t>
      </w:r>
    </w:p>
    <w:p w14:paraId="0BD1BDA9">
      <w:pPr>
        <w:shd w:val="clear" w:color="auto" w:fill="auto"/>
        <w:kinsoku/>
        <w:autoSpaceDE/>
        <w:autoSpaceDN/>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（五）退出通用要求</w:t>
      </w:r>
    </w:p>
    <w:p w14:paraId="71F58BE7">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资料交接：乙方需移交全部平台运营台账、用户数据、入驻机构档案、业务合同、财务凭证、资质文件等全部资料，确保数据真实完整、可追溯。</w:t>
      </w:r>
    </w:p>
    <w:p w14:paraId="5D94B496">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业务存续：未完结的订单、服务合同、入驻协议等，由甲方</w:t>
      </w:r>
      <w:r>
        <w:rPr>
          <w:rFonts w:hint="eastAsia" w:ascii="宋体" w:hAnsi="宋体" w:cs="宋体"/>
          <w:b w:val="0"/>
          <w:bCs w:val="0"/>
          <w:color w:val="auto"/>
          <w:sz w:val="21"/>
          <w:szCs w:val="21"/>
          <w:highlight w:val="none"/>
          <w:lang w:val="en-US" w:eastAsia="zh-CN"/>
        </w:rPr>
        <w:t>或甲方指定运营单位</w:t>
      </w:r>
      <w:r>
        <w:rPr>
          <w:rFonts w:hint="eastAsia" w:ascii="宋体" w:hAnsi="宋体" w:eastAsia="宋体" w:cs="宋体"/>
          <w:b w:val="0"/>
          <w:bCs w:val="0"/>
          <w:color w:val="auto"/>
          <w:sz w:val="21"/>
          <w:szCs w:val="21"/>
          <w:highlight w:val="none"/>
          <w:lang w:val="en-US" w:eastAsia="zh-CN"/>
        </w:rPr>
        <w:t>承接，乙方需配合完成权利义务转移，不得擅自终止服务。</w:t>
      </w:r>
    </w:p>
    <w:p w14:paraId="0AFB6839">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品牌与商誉：退出后乙方不得继续使用“三水区互联网医疗服务平台”相关品牌、标识及名义开展任何业务，不得诋毁平台商誉。</w:t>
      </w:r>
    </w:p>
    <w:p w14:paraId="1432B228">
      <w:pPr>
        <w:shd w:val="clear" w:color="auto" w:fill="auto"/>
        <w:kinsoku/>
        <w:autoSpaceDE/>
        <w:autoSpaceDN/>
        <w:adjustRightInd/>
        <w:snapToGrid/>
        <w:spacing w:line="360" w:lineRule="auto"/>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第七条 知识产权及数据安全</w:t>
      </w:r>
    </w:p>
    <w:p w14:paraId="4FE39655">
      <w:pPr>
        <w:numPr>
          <w:ilvl w:val="0"/>
          <w:numId w:val="0"/>
        </w:num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lang w:val="en-US" w:eastAsia="zh-CN"/>
        </w:rPr>
        <w:t>参与项目</w:t>
      </w:r>
      <w:r>
        <w:rPr>
          <w:rFonts w:hint="eastAsia" w:ascii="宋体" w:hAnsi="宋体" w:cs="宋体"/>
          <w:color w:val="auto"/>
          <w:sz w:val="21"/>
          <w:szCs w:val="21"/>
          <w:highlight w:val="none"/>
          <w:lang w:val="en-US" w:eastAsia="zh-CN"/>
        </w:rPr>
        <w:t>运营</w:t>
      </w:r>
      <w:r>
        <w:rPr>
          <w:rFonts w:hint="eastAsia" w:ascii="宋体" w:hAnsi="宋体" w:eastAsia="宋体" w:cs="宋体"/>
          <w:color w:val="auto"/>
          <w:sz w:val="21"/>
          <w:szCs w:val="21"/>
          <w:highlight w:val="none"/>
          <w:lang w:val="en-US" w:eastAsia="zh-CN"/>
        </w:rPr>
        <w:t>的工作人员会涉及到医院信息系统数据</w:t>
      </w:r>
      <w:r>
        <w:rPr>
          <w:rFonts w:hint="eastAsia" w:ascii="宋体" w:hAnsi="宋体" w:cs="宋体"/>
          <w:color w:val="auto"/>
          <w:sz w:val="21"/>
          <w:szCs w:val="21"/>
          <w:highlight w:val="none"/>
          <w:lang w:val="en-US" w:eastAsia="zh-CN"/>
        </w:rPr>
        <w:t>及运营数据</w:t>
      </w:r>
      <w:r>
        <w:rPr>
          <w:rFonts w:hint="eastAsia" w:ascii="宋体" w:hAnsi="宋体" w:eastAsia="宋体" w:cs="宋体"/>
          <w:color w:val="auto"/>
          <w:sz w:val="21"/>
          <w:szCs w:val="21"/>
          <w:highlight w:val="none"/>
          <w:lang w:val="en-US" w:eastAsia="zh-CN"/>
        </w:rPr>
        <w:t>，系统设计所涉及到的数据、需求图表等知识产权归</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val="en-US" w:eastAsia="zh-CN"/>
        </w:rPr>
        <w:t>方所有，未经</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val="en-US" w:eastAsia="zh-CN"/>
        </w:rPr>
        <w:t>方允许，不得将系统数据、需求等知识产权进行对外宣传、出售，不得泄露给第三方或用于本项目以外的用途。项目</w:t>
      </w:r>
      <w:r>
        <w:rPr>
          <w:rFonts w:hint="eastAsia" w:ascii="宋体" w:hAnsi="宋体" w:cs="宋体"/>
          <w:color w:val="auto"/>
          <w:sz w:val="21"/>
          <w:szCs w:val="21"/>
          <w:highlight w:val="none"/>
          <w:lang w:val="en-US" w:eastAsia="zh-CN"/>
        </w:rPr>
        <w:t>运营</w:t>
      </w:r>
      <w:r>
        <w:rPr>
          <w:rFonts w:hint="eastAsia" w:ascii="宋体" w:hAnsi="宋体" w:eastAsia="宋体" w:cs="宋体"/>
          <w:color w:val="auto"/>
          <w:sz w:val="21"/>
          <w:szCs w:val="21"/>
          <w:highlight w:val="none"/>
          <w:lang w:val="en-US" w:eastAsia="zh-CN"/>
        </w:rPr>
        <w:t>结束后，双方仍需对项目涉及的技术细节、商业信息等承担保密义务，若因</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lang w:val="en-US" w:eastAsia="zh-CN"/>
        </w:rPr>
        <w:t>方原因导致泄密，需承担全部法律后果及</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因此遭受的损失。</w:t>
      </w:r>
    </w:p>
    <w:p w14:paraId="73EE2FEB">
      <w:pPr>
        <w:numPr>
          <w:ilvl w:val="0"/>
          <w:numId w:val="0"/>
        </w:num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运营</w:t>
      </w:r>
      <w:r>
        <w:rPr>
          <w:rFonts w:hint="eastAsia" w:ascii="宋体" w:hAnsi="宋体" w:eastAsia="宋体" w:cs="宋体"/>
          <w:color w:val="auto"/>
          <w:sz w:val="21"/>
          <w:szCs w:val="21"/>
          <w:highlight w:val="none"/>
          <w:lang w:val="en-US" w:eastAsia="zh-CN"/>
        </w:rPr>
        <w:t>期间，</w:t>
      </w:r>
      <w:r>
        <w:rPr>
          <w:rFonts w:hint="eastAsia" w:ascii="宋体" w:hAnsi="宋体" w:cs="宋体"/>
          <w:color w:val="auto"/>
          <w:sz w:val="21"/>
          <w:szCs w:val="21"/>
          <w:highlight w:val="none"/>
          <w:lang w:val="en-US" w:eastAsia="zh-CN"/>
        </w:rPr>
        <w:t>乙</w:t>
      </w:r>
      <w:r>
        <w:rPr>
          <w:rFonts w:hint="eastAsia" w:ascii="宋体" w:hAnsi="宋体" w:eastAsia="宋体" w:cs="宋体"/>
          <w:color w:val="auto"/>
          <w:sz w:val="21"/>
          <w:szCs w:val="21"/>
          <w:highlight w:val="none"/>
          <w:lang w:val="en-US" w:eastAsia="zh-CN"/>
        </w:rPr>
        <w:t>方因运营服务所产生的所有成果（含图文内容、视频素材、数据报告、活动策划方案等）的知识产权归</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val="en-US" w:eastAsia="zh-CN"/>
        </w:rPr>
        <w:t>所有。未经</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val="en-US" w:eastAsia="zh-CN"/>
        </w:rPr>
        <w:t>方书面许可，</w:t>
      </w:r>
      <w:r>
        <w:rPr>
          <w:rFonts w:hint="eastAsia" w:ascii="宋体" w:hAnsi="宋体" w:cs="宋体"/>
          <w:color w:val="auto"/>
          <w:sz w:val="21"/>
          <w:szCs w:val="21"/>
          <w:highlight w:val="none"/>
          <w:lang w:val="en-US" w:eastAsia="zh-CN"/>
        </w:rPr>
        <w:t>乙</w:t>
      </w:r>
      <w:r>
        <w:rPr>
          <w:rFonts w:hint="eastAsia" w:ascii="宋体" w:hAnsi="宋体" w:eastAsia="宋体" w:cs="宋体"/>
          <w:color w:val="auto"/>
          <w:sz w:val="21"/>
          <w:szCs w:val="21"/>
          <w:highlight w:val="none"/>
          <w:lang w:val="en-US" w:eastAsia="zh-CN"/>
        </w:rPr>
        <w:t>方不得以任何形式复制、传播、改编或用于其他用途，否则</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val="en-US" w:eastAsia="zh-CN"/>
        </w:rPr>
        <w:t>方有权追究法律责任并要求赔偿损失（包括直接经济损失、商誉损害等）。</w:t>
      </w:r>
    </w:p>
    <w:p w14:paraId="5E3BFA76">
      <w:pPr>
        <w:numPr>
          <w:ilvl w:val="0"/>
          <w:numId w:val="0"/>
        </w:num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（三）运营</w:t>
      </w:r>
      <w:r>
        <w:rPr>
          <w:rFonts w:hint="eastAsia" w:ascii="宋体" w:hAnsi="宋体" w:eastAsia="宋体" w:cs="宋体"/>
          <w:color w:val="auto"/>
          <w:sz w:val="21"/>
          <w:szCs w:val="21"/>
          <w:highlight w:val="none"/>
          <w:lang w:val="en-US" w:eastAsia="zh-CN"/>
        </w:rPr>
        <w:t>期满后，</w:t>
      </w:r>
      <w:r>
        <w:rPr>
          <w:rFonts w:hint="eastAsia" w:ascii="宋体" w:hAnsi="宋体" w:cs="宋体"/>
          <w:color w:val="auto"/>
          <w:sz w:val="21"/>
          <w:szCs w:val="21"/>
          <w:highlight w:val="none"/>
          <w:lang w:val="en-US" w:eastAsia="zh-CN"/>
        </w:rPr>
        <w:t>乙</w:t>
      </w:r>
      <w:r>
        <w:rPr>
          <w:rFonts w:hint="eastAsia" w:ascii="宋体" w:hAnsi="宋体" w:eastAsia="宋体" w:cs="宋体"/>
          <w:color w:val="auto"/>
          <w:sz w:val="21"/>
          <w:szCs w:val="21"/>
          <w:highlight w:val="none"/>
          <w:lang w:val="en-US" w:eastAsia="zh-CN"/>
        </w:rPr>
        <w:t>方需将平台运营的微信公众号、小程序等平台账号及数据完整移交给</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，不得保留账号使用权或擅自删除历史数据。未经允许，</w:t>
      </w:r>
      <w:r>
        <w:rPr>
          <w:rFonts w:hint="eastAsia" w:ascii="宋体" w:hAnsi="宋体" w:cs="宋体"/>
          <w:color w:val="auto"/>
          <w:sz w:val="21"/>
          <w:szCs w:val="21"/>
          <w:highlight w:val="none"/>
          <w:lang w:val="en-US" w:eastAsia="zh-CN"/>
        </w:rPr>
        <w:t>乙</w:t>
      </w:r>
      <w:r>
        <w:rPr>
          <w:rFonts w:hint="eastAsia" w:ascii="宋体" w:hAnsi="宋体" w:eastAsia="宋体" w:cs="宋体"/>
          <w:color w:val="auto"/>
          <w:sz w:val="21"/>
          <w:szCs w:val="21"/>
          <w:highlight w:val="none"/>
          <w:lang w:val="en-US" w:eastAsia="zh-CN"/>
        </w:rPr>
        <w:t>方不得继续使用上述平台账号进行任何活动。</w:t>
      </w:r>
    </w:p>
    <w:p w14:paraId="5EC7468F">
      <w:pPr>
        <w:numPr>
          <w:ilvl w:val="0"/>
          <w:numId w:val="0"/>
        </w:num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（四）乙</w:t>
      </w:r>
      <w:r>
        <w:rPr>
          <w:rFonts w:hint="eastAsia" w:ascii="宋体" w:hAnsi="宋体" w:eastAsia="宋体" w:cs="宋体"/>
          <w:color w:val="auto"/>
          <w:sz w:val="21"/>
          <w:szCs w:val="21"/>
          <w:highlight w:val="none"/>
          <w:lang w:val="en-US" w:eastAsia="zh-CN"/>
        </w:rPr>
        <w:t>方须保证其提供的内容、技术、服务等不侵犯任何第三方的知识产权。若因第三方提出侵权主张引发法律纠纷，</w:t>
      </w:r>
      <w:r>
        <w:rPr>
          <w:rFonts w:hint="eastAsia" w:ascii="宋体" w:hAnsi="宋体" w:cs="宋体"/>
          <w:color w:val="auto"/>
          <w:sz w:val="21"/>
          <w:szCs w:val="21"/>
          <w:highlight w:val="none"/>
          <w:lang w:val="en-US" w:eastAsia="zh-CN"/>
        </w:rPr>
        <w:t>乙</w:t>
      </w:r>
      <w:r>
        <w:rPr>
          <w:rFonts w:hint="eastAsia" w:ascii="宋体" w:hAnsi="宋体" w:eastAsia="宋体" w:cs="宋体"/>
          <w:color w:val="auto"/>
          <w:sz w:val="21"/>
          <w:szCs w:val="21"/>
          <w:highlight w:val="none"/>
          <w:lang w:val="en-US" w:eastAsia="zh-CN"/>
        </w:rPr>
        <w:t>方需承担全部法律责任及经济赔偿，</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val="en-US" w:eastAsia="zh-CN"/>
        </w:rPr>
        <w:t>方对此不承担任何责任。</w:t>
      </w:r>
    </w:p>
    <w:p w14:paraId="49292DDF">
      <w:pPr>
        <w:numPr>
          <w:ilvl w:val="0"/>
          <w:numId w:val="0"/>
        </w:num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五</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运营期内，</w:t>
      </w:r>
      <w:r>
        <w:rPr>
          <w:rFonts w:hint="eastAsia" w:ascii="宋体" w:hAnsi="宋体" w:eastAsia="宋体" w:cs="宋体"/>
          <w:color w:val="auto"/>
          <w:sz w:val="21"/>
          <w:szCs w:val="21"/>
          <w:highlight w:val="none"/>
        </w:rPr>
        <w:t>乙方有权以该平台运营商的名义进行市场推广和品牌宣传活动，但所有重大活动方案须事先征得甲方书面同意。</w:t>
      </w:r>
    </w:p>
    <w:p w14:paraId="7EA7458F">
      <w:pPr>
        <w:shd w:val="clear" w:color="auto" w:fill="auto"/>
        <w:kinsoku/>
        <w:autoSpaceDE/>
        <w:autoSpaceDN/>
        <w:adjustRightInd/>
        <w:snapToGrid/>
        <w:spacing w:line="360" w:lineRule="auto"/>
        <w:ind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六）</w:t>
      </w:r>
      <w:r>
        <w:rPr>
          <w:rFonts w:ascii="宋体" w:hAnsi="宋体" w:eastAsia="宋体" w:cs="宋体"/>
          <w:color w:val="auto"/>
          <w:sz w:val="21"/>
          <w:szCs w:val="21"/>
          <w:highlight w:val="none"/>
        </w:rPr>
        <w:t>若乙方的工作需要甲方先行配合完成，在甲方未完成</w:t>
      </w:r>
      <w:r>
        <w:rPr>
          <w:rFonts w:hint="eastAsia" w:ascii="宋体" w:hAnsi="宋体" w:eastAsia="宋体" w:cs="宋体"/>
          <w:color w:val="auto"/>
          <w:sz w:val="21"/>
          <w:szCs w:val="21"/>
          <w:highlight w:val="none"/>
          <w:lang w:val="en-US" w:eastAsia="zh-CN"/>
        </w:rPr>
        <w:t>或者延期</w:t>
      </w:r>
      <w:r>
        <w:rPr>
          <w:rFonts w:ascii="宋体" w:hAnsi="宋体" w:eastAsia="宋体" w:cs="宋体"/>
          <w:color w:val="auto"/>
          <w:sz w:val="21"/>
          <w:szCs w:val="21"/>
          <w:highlight w:val="none"/>
        </w:rPr>
        <w:t>的情况下，乙方有权根据实际情况增加该项工作的实际完成时间。</w:t>
      </w:r>
    </w:p>
    <w:p w14:paraId="1D86043E">
      <w:pPr>
        <w:shd w:val="clear" w:color="auto" w:fill="auto"/>
        <w:kinsoku/>
        <w:autoSpaceDE/>
        <w:autoSpaceDN/>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七</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若乙方因运营需要，在平台新增功能模块，需</w:t>
      </w:r>
      <w:r>
        <w:rPr>
          <w:rFonts w:hint="eastAsia" w:ascii="宋体" w:hAnsi="宋体" w:eastAsia="宋体" w:cs="宋体"/>
          <w:color w:val="auto"/>
          <w:sz w:val="21"/>
          <w:szCs w:val="21"/>
          <w:highlight w:val="none"/>
          <w:lang w:val="en-US" w:eastAsia="zh-CN"/>
        </w:rPr>
        <w:t>经</w:t>
      </w:r>
      <w:r>
        <w:rPr>
          <w:rFonts w:hint="eastAsia" w:ascii="宋体" w:hAnsi="宋体" w:cs="宋体"/>
          <w:color w:val="auto"/>
          <w:sz w:val="21"/>
          <w:szCs w:val="21"/>
          <w:highlight w:val="none"/>
          <w:lang w:val="en-US" w:eastAsia="zh-CN"/>
        </w:rPr>
        <w:t>甲</w:t>
      </w:r>
      <w:r>
        <w:rPr>
          <w:rFonts w:hint="eastAsia" w:ascii="宋体" w:hAnsi="宋体" w:eastAsia="宋体" w:cs="宋体"/>
          <w:color w:val="auto"/>
          <w:sz w:val="21"/>
          <w:szCs w:val="21"/>
          <w:highlight w:val="none"/>
          <w:lang w:val="en-US" w:eastAsia="zh-CN"/>
        </w:rPr>
        <w:t>方书面</w:t>
      </w:r>
      <w:r>
        <w:rPr>
          <w:rFonts w:hint="eastAsia" w:ascii="宋体" w:hAnsi="宋体" w:cs="宋体"/>
          <w:color w:val="auto"/>
          <w:sz w:val="21"/>
          <w:szCs w:val="21"/>
          <w:highlight w:val="none"/>
          <w:lang w:val="en-US" w:eastAsia="zh-CN"/>
        </w:rPr>
        <w:t>同意方可实施，运营期结束时，除非甲方要求删除，所有在平台新增的功能模块产权归甲方所有。</w:t>
      </w:r>
    </w:p>
    <w:p w14:paraId="76E477CF">
      <w:pPr>
        <w:shd w:val="clear" w:color="auto" w:fill="auto"/>
        <w:kinsoku/>
        <w:autoSpaceDE/>
        <w:autoSpaceDN/>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第</w:t>
      </w: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lang w:eastAsia="zh-CN"/>
        </w:rPr>
        <w:t>条 通知与送达</w:t>
      </w:r>
    </w:p>
    <w:p w14:paraId="6F066118">
      <w:pPr>
        <w:pStyle w:val="122"/>
        <w:shd w:val="clear" w:color="auto" w:fill="auto"/>
        <w:kinsoku/>
        <w:autoSpaceDE/>
        <w:autoSpaceDN/>
        <w:adjustRightInd/>
        <w:snapToGrid/>
        <w:spacing w:line="360" w:lineRule="auto"/>
        <w:ind w:firstLine="56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方向另一方发出的任何通知应以书面方式作出并经该方或代表该方签署。该等通知通过短信、微信、快递公司或电子邮件的方式，在通过约定联系方式送达或送至本协议项下所载地址时将视为有效送达。各方初步的地址和联系方式如下：</w:t>
      </w:r>
    </w:p>
    <w:p w14:paraId="71CCE7B1">
      <w:pPr>
        <w:pStyle w:val="37"/>
        <w:shd w:val="clear" w:color="auto" w:fill="auto"/>
        <w:kinsoku/>
        <w:autoSpaceDE/>
        <w:autoSpaceDN/>
        <w:adjustRightInd/>
        <w:snapToGrid/>
        <w:spacing w:before="0" w:beforeAutospacing="0" w:after="0" w:afterAutospacing="0" w:line="360" w:lineRule="auto"/>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甲方联系人：</w:t>
      </w:r>
      <w:r>
        <w:rPr>
          <w:rFonts w:hint="eastAsia" w:ascii="宋体" w:hAnsi="宋体" w:eastAsia="宋体" w:cs="宋体"/>
          <w:color w:val="auto"/>
          <w:kern w:val="2"/>
          <w:sz w:val="21"/>
          <w:szCs w:val="21"/>
          <w:highlight w:val="none"/>
          <w:lang w:eastAsia="zh-CN"/>
        </w:rPr>
        <w:tab/>
      </w:r>
      <w:r>
        <w:rPr>
          <w:rFonts w:hint="eastAsia" w:ascii="宋体" w:hAnsi="宋体" w:eastAsia="宋体" w:cs="宋体"/>
          <w:color w:val="auto"/>
          <w:kern w:val="2"/>
          <w:sz w:val="21"/>
          <w:szCs w:val="21"/>
          <w:highlight w:val="none"/>
          <w:lang w:eastAsia="zh-CN"/>
        </w:rPr>
        <w:tab/>
      </w:r>
      <w:r>
        <w:rPr>
          <w:rFonts w:hint="eastAsia" w:ascii="宋体" w:hAnsi="宋体" w:eastAsia="宋体" w:cs="宋体"/>
          <w:color w:val="auto"/>
          <w:kern w:val="2"/>
          <w:sz w:val="21"/>
          <w:szCs w:val="21"/>
          <w:highlight w:val="none"/>
          <w:lang w:eastAsia="zh-CN"/>
        </w:rPr>
        <w:tab/>
      </w:r>
      <w:r>
        <w:rPr>
          <w:rFonts w:hint="eastAsia" w:ascii="宋体" w:hAnsi="宋体" w:eastAsia="宋体" w:cs="宋体"/>
          <w:color w:val="auto"/>
          <w:kern w:val="2"/>
          <w:sz w:val="21"/>
          <w:szCs w:val="21"/>
          <w:highlight w:val="none"/>
          <w:lang w:eastAsia="zh-CN"/>
        </w:rPr>
        <w:t xml:space="preserve"> 电话：</w:t>
      </w:r>
    </w:p>
    <w:p w14:paraId="2CE5A859">
      <w:pPr>
        <w:pStyle w:val="37"/>
        <w:shd w:val="clear" w:color="auto" w:fill="auto"/>
        <w:kinsoku/>
        <w:autoSpaceDE/>
        <w:autoSpaceDN/>
        <w:adjustRightInd/>
        <w:snapToGrid/>
        <w:spacing w:before="0" w:beforeAutospacing="0" w:after="0" w:afterAutospacing="0" w:line="360" w:lineRule="auto"/>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甲方地址： </w:t>
      </w:r>
    </w:p>
    <w:p w14:paraId="27140468">
      <w:pPr>
        <w:pStyle w:val="37"/>
        <w:shd w:val="clear" w:color="auto" w:fill="auto"/>
        <w:kinsoku/>
        <w:autoSpaceDE/>
        <w:autoSpaceDN/>
        <w:adjustRightInd/>
        <w:snapToGrid/>
        <w:spacing w:before="0" w:beforeAutospacing="0" w:after="0" w:afterAutospacing="0" w:line="360" w:lineRule="auto"/>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乙方联系人：</w:t>
      </w:r>
      <w:r>
        <w:rPr>
          <w:rFonts w:hint="eastAsia" w:ascii="宋体" w:hAnsi="宋体" w:eastAsia="宋体" w:cs="宋体"/>
          <w:color w:val="auto"/>
          <w:kern w:val="2"/>
          <w:sz w:val="21"/>
          <w:szCs w:val="21"/>
          <w:highlight w:val="none"/>
          <w:lang w:eastAsia="zh-CN"/>
        </w:rPr>
        <w:tab/>
      </w:r>
      <w:r>
        <w:rPr>
          <w:rFonts w:hint="eastAsia" w:eastAsia="宋体" w:cs="宋体"/>
          <w:color w:val="auto"/>
          <w:kern w:val="2"/>
          <w:sz w:val="21"/>
          <w:szCs w:val="21"/>
          <w:highlight w:val="none"/>
          <w:lang w:val="en-US" w:eastAsia="zh-CN"/>
        </w:rPr>
        <w:t xml:space="preserve"> </w:t>
      </w:r>
      <w:r>
        <w:rPr>
          <w:rFonts w:hint="eastAsia" w:ascii="宋体" w:hAnsi="宋体" w:eastAsia="宋体" w:cs="宋体"/>
          <w:color w:val="auto"/>
          <w:kern w:val="2"/>
          <w:sz w:val="21"/>
          <w:szCs w:val="21"/>
          <w:highlight w:val="none"/>
          <w:lang w:eastAsia="zh-CN"/>
        </w:rPr>
        <w:tab/>
      </w:r>
      <w:r>
        <w:rPr>
          <w:rFonts w:hint="eastAsia" w:ascii="宋体" w:hAnsi="宋体" w:eastAsia="宋体" w:cs="宋体"/>
          <w:color w:val="auto"/>
          <w:kern w:val="2"/>
          <w:sz w:val="21"/>
          <w:szCs w:val="21"/>
          <w:highlight w:val="none"/>
          <w:lang w:eastAsia="zh-CN"/>
        </w:rPr>
        <w:tab/>
      </w:r>
      <w:r>
        <w:rPr>
          <w:rFonts w:hint="eastAsia" w:ascii="宋体" w:hAnsi="宋体" w:eastAsia="宋体" w:cs="宋体"/>
          <w:color w:val="auto"/>
          <w:kern w:val="2"/>
          <w:sz w:val="21"/>
          <w:szCs w:val="21"/>
          <w:highlight w:val="none"/>
          <w:lang w:eastAsia="zh-CN"/>
        </w:rPr>
        <w:t xml:space="preserve"> 电话：</w:t>
      </w:r>
      <w:r>
        <w:rPr>
          <w:rFonts w:hint="eastAsia" w:eastAsia="宋体" w:cs="宋体"/>
          <w:color w:val="auto"/>
          <w:kern w:val="2"/>
          <w:sz w:val="21"/>
          <w:szCs w:val="21"/>
          <w:highlight w:val="none"/>
          <w:lang w:val="en-US" w:eastAsia="zh-CN"/>
        </w:rPr>
        <w:t xml:space="preserve"> </w:t>
      </w:r>
    </w:p>
    <w:p w14:paraId="5F475C1B">
      <w:pPr>
        <w:pStyle w:val="37"/>
        <w:shd w:val="clear" w:color="auto" w:fill="auto"/>
        <w:kinsoku/>
        <w:autoSpaceDE/>
        <w:autoSpaceDN/>
        <w:adjustRightInd/>
        <w:snapToGrid/>
        <w:spacing w:before="0" w:beforeAutospacing="0" w:after="0" w:afterAutospacing="0" w:line="360" w:lineRule="auto"/>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乙方地址：</w:t>
      </w:r>
    </w:p>
    <w:p w14:paraId="52EFA97B">
      <w:pPr>
        <w:pStyle w:val="37"/>
        <w:shd w:val="clear" w:color="auto" w:fill="auto"/>
        <w:kinsoku/>
        <w:autoSpaceDE/>
        <w:autoSpaceDN/>
        <w:adjustRightInd/>
        <w:snapToGrid/>
        <w:spacing w:before="0" w:beforeAutospacing="0" w:after="0" w:afterAutospacing="0" w:line="360" w:lineRule="auto"/>
        <w:textAlignment w:val="auto"/>
        <w:rPr>
          <w:rFonts w:hint="eastAsia" w:ascii="宋体" w:hAnsi="宋体" w:eastAsia="宋体" w:cs="宋体"/>
          <w:color w:val="auto"/>
          <w:sz w:val="21"/>
          <w:szCs w:val="21"/>
          <w:highlight w:val="none"/>
          <w:lang w:eastAsia="zh-CN"/>
        </w:rPr>
      </w:pPr>
      <w:r>
        <w:rPr>
          <w:rFonts w:hint="eastAsia" w:eastAsia="宋体" w:cs="宋体"/>
          <w:color w:val="auto"/>
          <w:kern w:val="2"/>
          <w:sz w:val="21"/>
          <w:szCs w:val="21"/>
          <w:highlight w:val="none"/>
          <w:lang w:val="en-US" w:eastAsia="zh-CN"/>
        </w:rPr>
        <w:t xml:space="preserve"> </w:t>
      </w:r>
    </w:p>
    <w:p w14:paraId="19E7E6FA">
      <w:pPr>
        <w:shd w:val="clear" w:color="auto" w:fill="auto"/>
        <w:kinsoku/>
        <w:autoSpaceDE/>
        <w:autoSpaceDN/>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第</w:t>
      </w:r>
      <w:r>
        <w:rPr>
          <w:rFonts w:hint="eastAsia" w:ascii="宋体" w:hAnsi="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lang w:eastAsia="zh-CN"/>
        </w:rPr>
        <w:t>条 保密义务</w:t>
      </w:r>
    </w:p>
    <w:p w14:paraId="0C929C7A">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1、甲乙双方应对其通过工作接触和通过其他渠道得知的有关对方的商业秘密严格保密，未经对方事先书面同意，不得向其他人披露。</w:t>
      </w:r>
    </w:p>
    <w:p w14:paraId="183BE851">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2、本条款在本协议终止或解除后仍继续有效。</w:t>
      </w:r>
    </w:p>
    <w:p w14:paraId="30784EDD">
      <w:pPr>
        <w:shd w:val="clear" w:color="auto" w:fill="auto"/>
        <w:kinsoku/>
        <w:autoSpaceDE/>
        <w:autoSpaceDN/>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第</w:t>
      </w: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eastAsia="zh-CN"/>
        </w:rPr>
        <w:t>条 违约责任</w:t>
      </w:r>
    </w:p>
    <w:p w14:paraId="032B2937">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本合同任何一方拒绝、迟延、拖延或未能完全履行本协议中约定的任何义务均被视为违约，除本合同另有规定，违约方应承担违约责任，守约方有权要求违约方赔偿其因此所遭受的全部损失，并要求违约方赔偿守约方追究违约责任所支付的相关合理费用，包括但不限于为解决纠纷而支出的各项合理且必要的费用（诉讼费、保全费、差旅费、律师费、评估费、鉴定费、审计费等）。</w:t>
      </w:r>
    </w:p>
    <w:p w14:paraId="4181BADA">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如违约方在收到守约方要求其纠正违约行为的书面通知5日后仍继续进行违约行为或不履行其义务，守约方除就其所有损失（包括直接损失以及因此赔偿所引发的一切合理且必要的费用和支出）获得违约方赔偿外，亦有权单方终止本协议。</w:t>
      </w:r>
    </w:p>
    <w:p w14:paraId="1FEE6CE7">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乙方不得与入驻</w:t>
      </w:r>
      <w:r>
        <w:rPr>
          <w:rFonts w:hint="eastAsia" w:ascii="宋体" w:hAnsi="宋体" w:eastAsia="宋体" w:cs="宋体"/>
          <w:color w:val="auto"/>
          <w:sz w:val="21"/>
          <w:szCs w:val="21"/>
          <w:highlight w:val="none"/>
          <w:lang w:val="en-US" w:eastAsia="zh-CN"/>
        </w:rPr>
        <w:t>平台</w:t>
      </w:r>
      <w:r>
        <w:rPr>
          <w:rFonts w:hint="eastAsia" w:ascii="宋体" w:hAnsi="宋体" w:eastAsia="宋体" w:cs="宋体"/>
          <w:color w:val="auto"/>
          <w:sz w:val="21"/>
          <w:szCs w:val="21"/>
          <w:highlight w:val="none"/>
          <w:lang w:eastAsia="zh-CN"/>
        </w:rPr>
        <w:t>的商</w:t>
      </w:r>
      <w:r>
        <w:rPr>
          <w:rFonts w:hint="eastAsia" w:ascii="宋体" w:hAnsi="宋体" w:eastAsia="宋体" w:cs="宋体"/>
          <w:color w:val="auto"/>
          <w:sz w:val="21"/>
          <w:szCs w:val="21"/>
          <w:highlight w:val="none"/>
          <w:lang w:val="en-US" w:eastAsia="zh-CN"/>
        </w:rPr>
        <w:t>家</w:t>
      </w:r>
      <w:r>
        <w:rPr>
          <w:rFonts w:hint="eastAsia" w:ascii="宋体" w:hAnsi="宋体" w:eastAsia="宋体" w:cs="宋体"/>
          <w:color w:val="auto"/>
          <w:sz w:val="21"/>
          <w:szCs w:val="21"/>
          <w:highlight w:val="none"/>
          <w:lang w:eastAsia="zh-CN"/>
        </w:rPr>
        <w:t>、医疗机构及第三方就同一交易事项订立两份及以上内容不一致、意思表示不真实的合同或协议，不得通过备案合同与实际履行合同不一致、签订阴阳合同（俗称）、虚假补充协议等方式隐瞒真实交易、逃避监管、规避分成、偷逃税款；乙方不得虚构、篡改、虚报、瞒报平台经营数据，不得恶意串通虚增/虚减业绩。</w:t>
      </w:r>
    </w:p>
    <w:p w14:paraId="70D67E8B">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乙方违反本条约定，视为根本性违约，甲方有权：</w:t>
      </w:r>
    </w:p>
    <w:p w14:paraId="5C09577C">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）单方解除合同</w:t>
      </w:r>
      <w:r>
        <w:rPr>
          <w:rFonts w:hint="eastAsia" w:ascii="宋体" w:hAnsi="宋体" w:eastAsia="宋体" w:cs="宋体"/>
          <w:color w:val="auto"/>
          <w:sz w:val="21"/>
          <w:szCs w:val="21"/>
          <w:highlight w:val="none"/>
          <w:lang w:val="en-US" w:eastAsia="zh-CN"/>
        </w:rPr>
        <w:t>并要求</w:t>
      </w:r>
      <w:r>
        <w:rPr>
          <w:rFonts w:hint="eastAsia" w:ascii="宋体" w:hAnsi="宋体" w:eastAsia="宋体" w:cs="宋体"/>
          <w:color w:val="auto"/>
          <w:sz w:val="21"/>
          <w:szCs w:val="21"/>
          <w:highlight w:val="none"/>
          <w:lang w:eastAsia="zh-CN"/>
        </w:rPr>
        <w:t>乙方足额补足年度保底分成差额，并赔偿甲方全部损失；</w:t>
      </w:r>
    </w:p>
    <w:p w14:paraId="60284E85">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）要求乙方支付违约金人民币</w:t>
      </w:r>
      <w:r>
        <w:rPr>
          <w:rFonts w:hint="eastAsia" w:ascii="宋体" w:hAnsi="宋体" w:eastAsia="宋体" w:cs="宋体"/>
          <w:color w:val="auto"/>
          <w:sz w:val="21"/>
          <w:szCs w:val="21"/>
          <w:highlight w:val="none"/>
          <w:u w:val="none"/>
          <w:lang w:val="en-US" w:eastAsia="zh-CN"/>
        </w:rPr>
        <w:t>100</w:t>
      </w:r>
      <w:r>
        <w:rPr>
          <w:rFonts w:hint="eastAsia" w:ascii="宋体" w:hAnsi="宋体" w:eastAsia="宋体" w:cs="宋体"/>
          <w:color w:val="auto"/>
          <w:sz w:val="21"/>
          <w:szCs w:val="21"/>
          <w:highlight w:val="none"/>
          <w:lang w:eastAsia="zh-CN"/>
        </w:rPr>
        <w:t>万元；</w:t>
      </w:r>
    </w:p>
    <w:p w14:paraId="59364C5E">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）因此产生的税务、行政、刑事及第三方索赔责任，均由乙方独立承担。</w:t>
      </w:r>
    </w:p>
    <w:p w14:paraId="46FAAEAA">
      <w:pPr>
        <w:shd w:val="clear" w:color="auto" w:fill="auto"/>
        <w:kinsoku/>
        <w:autoSpaceDE/>
        <w:autoSpaceDN/>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b/>
          <w:bCs/>
          <w:color w:val="auto"/>
          <w:sz w:val="21"/>
          <w:szCs w:val="21"/>
          <w:highlight w:val="none"/>
          <w:lang w:eastAsia="zh-CN"/>
        </w:rPr>
        <w:t>第</w:t>
      </w:r>
      <w:r>
        <w:rPr>
          <w:rFonts w:hint="eastAsia" w:ascii="宋体" w:hAnsi="宋体" w:cs="宋体"/>
          <w:b/>
          <w:bCs/>
          <w:color w:val="auto"/>
          <w:sz w:val="21"/>
          <w:szCs w:val="21"/>
          <w:highlight w:val="none"/>
          <w:lang w:val="en-US" w:eastAsia="zh-CN"/>
        </w:rPr>
        <w:t>十一</w:t>
      </w:r>
      <w:r>
        <w:rPr>
          <w:rFonts w:hint="eastAsia" w:ascii="宋体" w:hAnsi="宋体" w:eastAsia="宋体" w:cs="宋体"/>
          <w:b/>
          <w:bCs/>
          <w:color w:val="auto"/>
          <w:sz w:val="21"/>
          <w:szCs w:val="21"/>
          <w:highlight w:val="none"/>
          <w:lang w:eastAsia="zh-CN"/>
        </w:rPr>
        <w:t>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bCs/>
          <w:color w:val="auto"/>
          <w:sz w:val="21"/>
          <w:szCs w:val="21"/>
          <w:highlight w:val="none"/>
          <w:lang w:eastAsia="zh-CN"/>
        </w:rPr>
        <w:t>反商业贿赂与廉洁从业</w:t>
      </w:r>
      <w:r>
        <w:rPr>
          <w:rFonts w:ascii="宋体" w:hAnsi="宋体" w:eastAsia="宋体" w:cs="宋体"/>
          <w:color w:val="auto"/>
          <w:sz w:val="24"/>
          <w:szCs w:val="24"/>
          <w:highlight w:val="none"/>
        </w:rPr>
        <w:t xml:space="preserve"> </w:t>
      </w:r>
    </w:p>
    <w:p w14:paraId="55B7366D">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 xml:space="preserve">乙方承诺严格遵守廉洁从业规定，不得向任何单位、个人索取或收受财物，不得提供或接受回扣、礼品、礼金、消费卡、有价证券、宴请、旅游、娱乐及其他任何形式的不正当利益。 </w:t>
      </w:r>
    </w:p>
    <w:p w14:paraId="4B8A66D5">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乙方不得与入驻机构、供应商、第三方恶意串通、进行利益输送、商业贿赂、虚增交易、虚构数据、签订虚假合同或阴阳合同。</w:t>
      </w:r>
    </w:p>
    <w:p w14:paraId="30A25079">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 xml:space="preserve">乙方及其工作人员违反本条约定，视为根本性违约，甲方有权单方解除合同，运营风险储备金不予退还，乙方应向甲方支付违约金，并赔偿甲方全部损失。 </w:t>
      </w:r>
    </w:p>
    <w:p w14:paraId="4B23BE6F">
      <w:pPr>
        <w:shd w:val="clear" w:color="auto" w:fill="auto"/>
        <w:kinsoku/>
        <w:autoSpaceDE/>
        <w:autoSpaceDN/>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甲方有权对乙方开展廉洁监督、审计、核查，乙方应无条件配合；拒不配合的，直接推定乙方存在违约行为。</w:t>
      </w:r>
    </w:p>
    <w:p w14:paraId="27F158D8">
      <w:pPr>
        <w:shd w:val="clear" w:color="auto" w:fill="auto"/>
        <w:kinsoku/>
        <w:autoSpaceDE/>
        <w:autoSpaceDN/>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第</w:t>
      </w:r>
      <w:r>
        <w:rPr>
          <w:rFonts w:hint="eastAsia" w:ascii="宋体" w:hAnsi="宋体" w:cs="宋体"/>
          <w:b/>
          <w:bCs/>
          <w:color w:val="auto"/>
          <w:sz w:val="21"/>
          <w:szCs w:val="21"/>
          <w:highlight w:val="none"/>
          <w:lang w:val="en-US" w:eastAsia="zh-CN"/>
        </w:rPr>
        <w:t>十二</w:t>
      </w:r>
      <w:r>
        <w:rPr>
          <w:rFonts w:hint="eastAsia" w:ascii="宋体" w:hAnsi="宋体" w:eastAsia="宋体" w:cs="宋体"/>
          <w:b/>
          <w:bCs/>
          <w:color w:val="auto"/>
          <w:sz w:val="21"/>
          <w:szCs w:val="21"/>
          <w:highlight w:val="none"/>
          <w:lang w:eastAsia="zh-CN"/>
        </w:rPr>
        <w:t>条 争议解决</w:t>
      </w:r>
    </w:p>
    <w:p w14:paraId="49702937">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1.甲乙双方在履行本合同过程中若发生争议，应协商解决，协商不能解决的，可向</w:t>
      </w:r>
      <w:r>
        <w:rPr>
          <w:rFonts w:hint="eastAsia" w:ascii="宋体" w:hAnsi="宋体" w:eastAsia="宋体" w:cs="宋体"/>
          <w:color w:val="auto"/>
          <w:sz w:val="21"/>
          <w:szCs w:val="21"/>
          <w:highlight w:val="none"/>
          <w:lang w:val="en-US" w:eastAsia="zh-CN"/>
        </w:rPr>
        <w:t>三水区人民法院</w:t>
      </w:r>
      <w:r>
        <w:rPr>
          <w:rFonts w:hint="eastAsia" w:ascii="宋体" w:hAnsi="宋体" w:eastAsia="宋体" w:cs="宋体"/>
          <w:color w:val="auto"/>
          <w:sz w:val="21"/>
          <w:szCs w:val="21"/>
          <w:highlight w:val="none"/>
          <w:lang w:eastAsia="zh-CN"/>
        </w:rPr>
        <w:t>提起诉讼。</w:t>
      </w:r>
    </w:p>
    <w:p w14:paraId="564949CE">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2.本合同的订立、执行、解释及争议的解决均应适用中华人民共和国法律。</w:t>
      </w:r>
    </w:p>
    <w:p w14:paraId="5370895E">
      <w:pPr>
        <w:shd w:val="clear" w:color="auto" w:fill="auto"/>
        <w:kinsoku/>
        <w:autoSpaceDE/>
        <w:autoSpaceDN/>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第</w:t>
      </w:r>
      <w:r>
        <w:rPr>
          <w:rFonts w:hint="eastAsia" w:ascii="宋体" w:hAnsi="宋体" w:cs="宋体"/>
          <w:b/>
          <w:bCs/>
          <w:color w:val="auto"/>
          <w:sz w:val="21"/>
          <w:szCs w:val="21"/>
          <w:highlight w:val="none"/>
          <w:lang w:val="en-US" w:eastAsia="zh-CN"/>
        </w:rPr>
        <w:t>十三</w:t>
      </w:r>
      <w:r>
        <w:rPr>
          <w:rFonts w:hint="eastAsia" w:ascii="宋体" w:hAnsi="宋体" w:eastAsia="宋体" w:cs="宋体"/>
          <w:b/>
          <w:bCs/>
          <w:color w:val="auto"/>
          <w:sz w:val="21"/>
          <w:szCs w:val="21"/>
          <w:highlight w:val="none"/>
          <w:lang w:eastAsia="zh-CN"/>
        </w:rPr>
        <w:t>条 不可抗力</w:t>
      </w:r>
    </w:p>
    <w:p w14:paraId="41462F51">
      <w:pPr>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1．如果甲方或乙方平台中的任何一方因为不可抗力（如：战争、火灾、台风、洪水、地震、疫情、政策）而被迫停止或推迟合同的执行，则合同执行相应延迟，延迟的时间等于不可抗力发生作用的时间。</w:t>
      </w:r>
    </w:p>
    <w:p w14:paraId="07D0BD79">
      <w:pPr>
        <w:shd w:val="clear" w:color="auto" w:fill="auto"/>
        <w:kinsoku/>
        <w:autoSpaceDE/>
        <w:autoSpaceDN/>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eastAsia="zh-CN"/>
        </w:rPr>
        <w:t>2．如因不可抗力事件的发生导致合同无法履行时，遇不可抗力的一方应立即将事故情况书面告知另一方，并应在不可抗力事件结束后</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日内，提供事故详情及合同不能履行或者需要延期履行的书面资料，双方认可后协商终止合同或暂时延迟合同的履行。</w:t>
      </w:r>
    </w:p>
    <w:p w14:paraId="1056327B">
      <w:pPr>
        <w:shd w:val="clear" w:color="auto" w:fill="auto"/>
        <w:kinsoku/>
        <w:autoSpaceDE/>
        <w:autoSpaceDN/>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第十</w:t>
      </w:r>
      <w:r>
        <w:rPr>
          <w:rFonts w:hint="eastAsia" w:ascii="宋体" w:hAnsi="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条 其他</w:t>
      </w:r>
    </w:p>
    <w:p w14:paraId="33CB11E9">
      <w:pPr>
        <w:pStyle w:val="122"/>
        <w:shd w:val="clear" w:color="auto" w:fill="auto"/>
        <w:kinsoku/>
        <w:autoSpaceDE/>
        <w:autoSpaceDN/>
        <w:adjustRightInd/>
        <w:snapToGrid/>
        <w:spacing w:line="360" w:lineRule="auto"/>
        <w:ind w:firstLine="56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甲乙双方运营本项目，应遵守国家相关法律法规的规定，符合国家、地方政策以及行业规范等的要求。</w:t>
      </w:r>
    </w:p>
    <w:p w14:paraId="6614C598">
      <w:pPr>
        <w:pStyle w:val="122"/>
        <w:shd w:val="clear" w:color="auto" w:fill="auto"/>
        <w:kinsoku/>
        <w:autoSpaceDE/>
        <w:autoSpaceDN/>
        <w:adjustRightInd/>
        <w:snapToGrid/>
        <w:spacing w:line="360" w:lineRule="auto"/>
        <w:ind w:firstLine="56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甲乙双方可就协议履行过程中出现的问题进行协商，达成一致后另行签订补充协议，补充协议与本协议具有同等法律效力。</w:t>
      </w:r>
    </w:p>
    <w:p w14:paraId="177745EA">
      <w:pPr>
        <w:pStyle w:val="122"/>
        <w:shd w:val="clear" w:color="auto" w:fill="auto"/>
        <w:kinsoku/>
        <w:autoSpaceDE/>
        <w:autoSpaceDN/>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本协议经甲乙双方盖章后生效。本协议一式</w:t>
      </w:r>
      <w:r>
        <w:rPr>
          <w:rFonts w:hint="eastAsia" w:ascii="宋体" w:hAnsi="宋体" w:eastAsia="宋体" w:cs="宋体"/>
          <w:color w:val="auto"/>
          <w:sz w:val="21"/>
          <w:szCs w:val="21"/>
          <w:highlight w:val="none"/>
          <w:u w:val="single"/>
          <w:lang w:eastAsia="zh-CN"/>
        </w:rPr>
        <w:t>陆</w:t>
      </w:r>
      <w:r>
        <w:rPr>
          <w:rFonts w:hint="eastAsia" w:ascii="宋体" w:hAnsi="宋体" w:eastAsia="宋体" w:cs="宋体"/>
          <w:color w:val="auto"/>
          <w:sz w:val="21"/>
          <w:szCs w:val="21"/>
          <w:highlight w:val="none"/>
          <w:lang w:eastAsia="zh-CN"/>
        </w:rPr>
        <w:t>份，甲方执</w:t>
      </w:r>
      <w:r>
        <w:rPr>
          <w:rFonts w:hint="eastAsia" w:ascii="宋体" w:hAnsi="宋体" w:eastAsia="宋体" w:cs="宋体"/>
          <w:color w:val="auto"/>
          <w:sz w:val="21"/>
          <w:szCs w:val="21"/>
          <w:highlight w:val="none"/>
          <w:u w:val="single"/>
          <w:lang w:eastAsia="zh-CN"/>
        </w:rPr>
        <w:t>叁</w:t>
      </w:r>
      <w:r>
        <w:rPr>
          <w:rFonts w:hint="eastAsia" w:ascii="宋体" w:hAnsi="宋体" w:eastAsia="宋体" w:cs="宋体"/>
          <w:color w:val="auto"/>
          <w:sz w:val="21"/>
          <w:szCs w:val="21"/>
          <w:highlight w:val="none"/>
          <w:lang w:eastAsia="zh-CN"/>
        </w:rPr>
        <w:t>份，乙方执</w:t>
      </w:r>
      <w:r>
        <w:rPr>
          <w:rFonts w:hint="eastAsia" w:ascii="宋体" w:hAnsi="宋体" w:eastAsia="宋体" w:cs="宋体"/>
          <w:color w:val="auto"/>
          <w:sz w:val="21"/>
          <w:szCs w:val="21"/>
          <w:highlight w:val="none"/>
          <w:u w:val="single"/>
          <w:lang w:eastAsia="zh-CN"/>
        </w:rPr>
        <w:t>叁</w:t>
      </w:r>
      <w:r>
        <w:rPr>
          <w:rFonts w:hint="eastAsia" w:ascii="宋体" w:hAnsi="宋体" w:eastAsia="宋体" w:cs="宋体"/>
          <w:color w:val="auto"/>
          <w:sz w:val="21"/>
          <w:szCs w:val="21"/>
          <w:highlight w:val="none"/>
          <w:lang w:eastAsia="zh-CN"/>
        </w:rPr>
        <w:t>份，均具有同等法律效力。</w:t>
      </w:r>
    </w:p>
    <w:p w14:paraId="76264E8D">
      <w:pPr>
        <w:keepNext w:val="0"/>
        <w:keepLines w:val="0"/>
        <w:pageBreakBefore w:val="0"/>
        <w:widowControl w:val="0"/>
        <w:shd w:val="clear" w:color="auto" w:fill="auto"/>
        <w:kinsoku/>
        <w:wordWrap/>
        <w:overflowPunct/>
        <w:topLinePunct w:val="0"/>
        <w:autoSpaceDE/>
        <w:autoSpaceDN/>
        <w:bidi w:val="0"/>
        <w:adjustRightInd/>
        <w:snapToGrid/>
        <w:spacing w:line="500" w:lineRule="exact"/>
        <w:ind w:left="0" w:firstLine="420" w:firstLineChars="200"/>
        <w:jc w:val="both"/>
        <w:textAlignment w:val="auto"/>
        <w:rPr>
          <w:rFonts w:hint="eastAsia" w:ascii="方正小标宋简体" w:hAnsi="方正小标宋简体" w:eastAsia="方正小标宋简体" w:cs="方正小标宋简体"/>
          <w:color w:val="auto"/>
          <w:sz w:val="44"/>
          <w:szCs w:val="44"/>
          <w:highlight w:val="none"/>
        </w:rPr>
      </w:pPr>
      <w:r>
        <w:rPr>
          <w:rFonts w:hint="eastAsia" w:ascii="宋体" w:hAnsi="宋体" w:eastAsia="宋体" w:cs="宋体"/>
          <w:b w:val="0"/>
          <w:color w:val="auto"/>
          <w:sz w:val="21"/>
          <w:szCs w:val="21"/>
          <w:highlight w:val="none"/>
          <w:lang w:val="en-US" w:eastAsia="zh-CN"/>
        </w:rPr>
        <w:t>附件：</w:t>
      </w:r>
      <w:r>
        <w:rPr>
          <w:rFonts w:hint="eastAsia" w:ascii="宋体" w:hAnsi="宋体" w:eastAsia="宋体" w:cs="宋体"/>
          <w:b w:val="0"/>
          <w:color w:val="auto"/>
          <w:sz w:val="21"/>
          <w:szCs w:val="21"/>
          <w:highlight w:val="none"/>
        </w:rPr>
        <w:t>三水区互联网医</w:t>
      </w:r>
      <w:r>
        <w:rPr>
          <w:rFonts w:hint="eastAsia" w:ascii="宋体" w:hAnsi="宋体" w:eastAsia="宋体" w:cs="宋体"/>
          <w:b w:val="0"/>
          <w:color w:val="auto"/>
          <w:sz w:val="21"/>
          <w:szCs w:val="21"/>
          <w:highlight w:val="none"/>
          <w:lang w:val="en-US" w:eastAsia="zh-CN"/>
        </w:rPr>
        <w:t>疗服务</w:t>
      </w:r>
      <w:r>
        <w:rPr>
          <w:rFonts w:hint="eastAsia" w:ascii="宋体" w:hAnsi="宋体" w:eastAsia="宋体" w:cs="宋体"/>
          <w:b w:val="0"/>
          <w:color w:val="auto"/>
          <w:sz w:val="21"/>
          <w:szCs w:val="21"/>
          <w:highlight w:val="none"/>
        </w:rPr>
        <w:t>平台运营量化考核标准</w:t>
      </w:r>
    </w:p>
    <w:p w14:paraId="35B47CF9">
      <w:pPr>
        <w:pStyle w:val="122"/>
        <w:shd w:val="clear" w:color="auto" w:fill="auto"/>
        <w:kinsoku/>
        <w:autoSpaceDE/>
        <w:autoSpaceDN/>
        <w:adjustRightInd/>
        <w:snapToGrid/>
        <w:spacing w:line="360" w:lineRule="auto"/>
        <w:ind w:firstLine="0" w:firstLineChars="0"/>
        <w:textAlignment w:val="auto"/>
        <w:rPr>
          <w:rFonts w:hint="eastAsia" w:ascii="宋体" w:hAnsi="宋体" w:eastAsia="宋体" w:cs="宋体"/>
          <w:color w:val="auto"/>
          <w:sz w:val="21"/>
          <w:szCs w:val="21"/>
          <w:highlight w:val="none"/>
          <w:lang w:eastAsia="zh-CN"/>
        </w:rPr>
      </w:pPr>
    </w:p>
    <w:p w14:paraId="09B3CBDC">
      <w:pPr>
        <w:shd w:val="clear" w:color="auto" w:fill="auto"/>
        <w:rPr>
          <w:color w:val="auto"/>
          <w:highlight w:val="none"/>
        </w:rPr>
      </w:pPr>
    </w:p>
    <w:p w14:paraId="6A2DB6A0">
      <w:pPr>
        <w:pStyle w:val="122"/>
        <w:shd w:val="clear" w:color="auto" w:fill="auto"/>
        <w:kinsoku/>
        <w:autoSpaceDE/>
        <w:autoSpaceDN/>
        <w:adjustRightInd/>
        <w:snapToGrid/>
        <w:spacing w:line="360" w:lineRule="auto"/>
        <w:ind w:firstLine="0" w:firstLineChars="0"/>
        <w:textAlignment w:val="auto"/>
        <w:rPr>
          <w:rFonts w:hint="eastAsia" w:ascii="宋体" w:hAnsi="宋体" w:eastAsia="宋体" w:cs="宋体"/>
          <w:color w:val="auto"/>
          <w:sz w:val="21"/>
          <w:szCs w:val="21"/>
          <w:highlight w:val="none"/>
          <w:lang w:eastAsia="zh-CN"/>
        </w:rPr>
      </w:pPr>
    </w:p>
    <w:p w14:paraId="0688155E">
      <w:pPr>
        <w:pStyle w:val="122"/>
        <w:shd w:val="clear" w:color="auto" w:fill="auto"/>
        <w:kinsoku/>
        <w:autoSpaceDE/>
        <w:autoSpaceDN/>
        <w:adjustRightInd/>
        <w:snapToGrid/>
        <w:spacing w:line="360" w:lineRule="auto"/>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甲方（盖章）：广东宏益健康产业投资有限公司</w:t>
      </w:r>
    </w:p>
    <w:p w14:paraId="5400BCA4">
      <w:pPr>
        <w:pStyle w:val="122"/>
        <w:shd w:val="clear" w:color="auto" w:fill="auto"/>
        <w:kinsoku/>
        <w:autoSpaceDE/>
        <w:autoSpaceDN/>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p>
    <w:p w14:paraId="786A4FB7">
      <w:pPr>
        <w:pStyle w:val="122"/>
        <w:shd w:val="clear" w:color="auto" w:fill="auto"/>
        <w:kinsoku/>
        <w:autoSpaceDE/>
        <w:autoSpaceDN/>
        <w:adjustRightInd/>
        <w:snapToGrid/>
        <w:spacing w:line="360" w:lineRule="auto"/>
        <w:ind w:firstLine="0" w:firstLineChars="0"/>
        <w:textAlignment w:val="auto"/>
        <w:rPr>
          <w:rFonts w:hint="eastAsia" w:ascii="宋体" w:hAnsi="宋体" w:eastAsia="宋体" w:cs="宋体"/>
          <w:color w:val="auto"/>
          <w:sz w:val="21"/>
          <w:szCs w:val="21"/>
          <w:highlight w:val="none"/>
        </w:rPr>
      </w:pPr>
    </w:p>
    <w:p w14:paraId="08E19FDB">
      <w:pPr>
        <w:pStyle w:val="122"/>
        <w:shd w:val="clear" w:color="auto" w:fill="auto"/>
        <w:kinsoku/>
        <w:autoSpaceDE/>
        <w:autoSpaceDN/>
        <w:adjustRightInd/>
        <w:snapToGrid/>
        <w:spacing w:line="360" w:lineRule="auto"/>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乙方（盖章）：</w:t>
      </w:r>
    </w:p>
    <w:p w14:paraId="17817D55">
      <w:pPr>
        <w:pStyle w:val="122"/>
        <w:shd w:val="clear" w:color="auto" w:fill="auto"/>
        <w:kinsoku/>
        <w:autoSpaceDE/>
        <w:autoSpaceDN/>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p>
    <w:p w14:paraId="5A5708F9">
      <w:pPr>
        <w:shd w:val="clear" w:color="auto" w:fill="auto"/>
        <w:kinsoku/>
        <w:autoSpaceDE/>
        <w:autoSpaceDN/>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 月 日</w:t>
      </w:r>
    </w:p>
    <w:p w14:paraId="174D1558">
      <w:pPr>
        <w:shd w:val="clear" w:color="auto" w:fill="auto"/>
        <w:kinsoku/>
        <w:autoSpaceDE/>
        <w:autoSpaceDN/>
        <w:adjustRightInd/>
        <w:snapToGrid/>
        <w:spacing w:line="360" w:lineRule="auto"/>
        <w:textAlignment w:val="auto"/>
        <w:rPr>
          <w:rFonts w:hint="eastAsia" w:ascii="宋体" w:hAnsi="宋体" w:eastAsia="宋体" w:cs="宋体"/>
          <w:color w:val="auto"/>
          <w:sz w:val="21"/>
          <w:szCs w:val="21"/>
          <w:highlight w:val="none"/>
        </w:rPr>
      </w:pPr>
    </w:p>
    <w:p w14:paraId="456AD633">
      <w:pPr>
        <w:shd w:val="clear" w:color="auto" w:fill="auto"/>
        <w:kinsoku/>
        <w:autoSpaceDE/>
        <w:autoSpaceDN/>
        <w:adjustRightInd/>
        <w:snapToGrid/>
        <w:spacing w:line="360" w:lineRule="auto"/>
        <w:textAlignment w:val="auto"/>
        <w:rPr>
          <w:rFonts w:hint="eastAsia" w:ascii="宋体" w:hAnsi="宋体" w:eastAsia="宋体" w:cs="宋体"/>
          <w:color w:val="auto"/>
          <w:sz w:val="21"/>
          <w:szCs w:val="21"/>
          <w:highlight w:val="none"/>
        </w:rPr>
      </w:pPr>
    </w:p>
    <w:p w14:paraId="291F40BB">
      <w:pPr>
        <w:shd w:val="clear" w:color="auto" w:fill="auto"/>
        <w:kinsoku/>
        <w:autoSpaceDE/>
        <w:autoSpaceDN/>
        <w:adjustRightInd/>
        <w:snapToGrid/>
        <w:spacing w:line="360" w:lineRule="auto"/>
        <w:textAlignment w:val="auto"/>
        <w:rPr>
          <w:rFonts w:hint="eastAsia" w:ascii="宋体" w:hAnsi="宋体" w:eastAsia="宋体" w:cs="宋体"/>
          <w:color w:val="auto"/>
          <w:sz w:val="21"/>
          <w:szCs w:val="21"/>
          <w:highlight w:val="none"/>
        </w:rPr>
      </w:pPr>
    </w:p>
    <w:p w14:paraId="62E28BAD">
      <w:pPr>
        <w:shd w:val="clear" w:color="auto" w:fill="auto"/>
        <w:kinsoku/>
        <w:autoSpaceDE/>
        <w:autoSpaceDN/>
        <w:adjustRightInd/>
        <w:snapToGrid/>
        <w:spacing w:line="360" w:lineRule="auto"/>
        <w:textAlignment w:val="auto"/>
        <w:rPr>
          <w:rFonts w:hint="eastAsia" w:ascii="宋体" w:hAnsi="宋体" w:eastAsia="宋体" w:cs="宋体"/>
          <w:color w:val="auto"/>
          <w:sz w:val="21"/>
          <w:szCs w:val="21"/>
          <w:highlight w:val="none"/>
        </w:rPr>
      </w:pPr>
    </w:p>
    <w:p w14:paraId="5297EF3F">
      <w:pPr>
        <w:keepNext w:val="0"/>
        <w:keepLines w:val="0"/>
        <w:pageBreakBefore w:val="0"/>
        <w:widowControl w:val="0"/>
        <w:shd w:val="clear" w:color="auto" w:fill="auto"/>
        <w:kinsoku/>
        <w:wordWrap/>
        <w:overflowPunct/>
        <w:topLinePunct w:val="0"/>
        <w:autoSpaceDE/>
        <w:autoSpaceDN/>
        <w:bidi w:val="0"/>
        <w:adjustRightInd/>
        <w:snapToGrid/>
        <w:spacing w:line="500" w:lineRule="exact"/>
        <w:ind w:left="0"/>
        <w:jc w:val="center"/>
        <w:textAlignment w:val="auto"/>
        <w:rPr>
          <w:rFonts w:hint="eastAsia" w:ascii="方正小标宋简体" w:hAnsi="方正小标宋简体" w:eastAsia="方正小标宋简体" w:cs="方正小标宋简体"/>
          <w:b/>
          <w:color w:val="auto"/>
          <w:sz w:val="44"/>
          <w:szCs w:val="44"/>
          <w:highlight w:val="none"/>
        </w:rPr>
      </w:pPr>
      <w:r>
        <w:rPr>
          <w:rFonts w:hint="eastAsia" w:ascii="方正小标宋简体" w:hAnsi="方正小标宋简体" w:eastAsia="方正小标宋简体" w:cs="方正小标宋简体"/>
          <w:b/>
          <w:color w:val="auto"/>
          <w:sz w:val="44"/>
          <w:szCs w:val="44"/>
          <w:highlight w:val="none"/>
        </w:rPr>
        <w:br w:type="page"/>
      </w:r>
      <w:r>
        <w:rPr>
          <w:rFonts w:hint="eastAsia" w:ascii="方正小标宋简体" w:hAnsi="方正小标宋简体" w:eastAsia="方正小标宋简体" w:cs="方正小标宋简体"/>
          <w:b/>
          <w:color w:val="auto"/>
          <w:sz w:val="44"/>
          <w:szCs w:val="44"/>
          <w:highlight w:val="none"/>
        </w:rPr>
        <w:t>三水区互联网医疗服务平台运营</w:t>
      </w:r>
    </w:p>
    <w:p w14:paraId="2149BF85">
      <w:pPr>
        <w:keepNext w:val="0"/>
        <w:keepLines w:val="0"/>
        <w:pageBreakBefore w:val="0"/>
        <w:widowControl w:val="0"/>
        <w:shd w:val="clear" w:color="auto" w:fill="auto"/>
        <w:kinsoku/>
        <w:wordWrap/>
        <w:overflowPunct/>
        <w:topLinePunct w:val="0"/>
        <w:autoSpaceDE/>
        <w:autoSpaceDN/>
        <w:bidi w:val="0"/>
        <w:adjustRightInd/>
        <w:snapToGrid/>
        <w:spacing w:line="500" w:lineRule="exact"/>
        <w:ind w:left="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b/>
          <w:color w:val="auto"/>
          <w:sz w:val="44"/>
          <w:szCs w:val="44"/>
          <w:highlight w:val="none"/>
        </w:rPr>
        <w:t>量化考核标准</w:t>
      </w:r>
    </w:p>
    <w:p w14:paraId="09A4FF69">
      <w:pPr>
        <w:shd w:val="clear" w:color="auto" w:fill="auto"/>
        <w:spacing w:before="380" w:after="140" w:line="288" w:lineRule="auto"/>
        <w:ind w:left="0"/>
        <w:jc w:val="left"/>
        <w:outlineLvl w:val="0"/>
        <w:rPr>
          <w:color w:val="auto"/>
          <w:sz w:val="32"/>
          <w:szCs w:val="32"/>
          <w:highlight w:val="none"/>
        </w:rPr>
      </w:pPr>
      <w:bookmarkStart w:id="3" w:name="heading_0"/>
      <w:r>
        <w:rPr>
          <w:rFonts w:hint="eastAsia" w:ascii="黑体" w:hAnsi="黑体" w:eastAsia="黑体" w:cs="黑体"/>
          <w:b w:val="0"/>
          <w:bCs/>
          <w:color w:val="auto"/>
          <w:sz w:val="28"/>
          <w:szCs w:val="28"/>
          <w:highlight w:val="none"/>
        </w:rPr>
        <w:t>一、平台基础运维与稳定性考核（15分）</w:t>
      </w:r>
      <w:bookmarkEnd w:id="3"/>
    </w:p>
    <w:tbl>
      <w:tblPr>
        <w:tblStyle w:val="42"/>
        <w:tblW w:w="9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75"/>
        <w:gridCol w:w="785"/>
        <w:gridCol w:w="2740"/>
        <w:gridCol w:w="2781"/>
        <w:gridCol w:w="1412"/>
      </w:tblGrid>
      <w:tr w14:paraId="6EAB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1475" w:type="dxa"/>
            <w:noWrap w:val="0"/>
            <w:tcMar>
              <w:top w:w="60" w:type="dxa"/>
              <w:left w:w="120" w:type="dxa"/>
              <w:bottom w:w="30" w:type="dxa"/>
              <w:right w:w="120" w:type="dxa"/>
            </w:tcMar>
            <w:vAlign w:val="center"/>
          </w:tcPr>
          <w:p w14:paraId="621A5223">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考核指标</w:t>
            </w:r>
          </w:p>
        </w:tc>
        <w:tc>
          <w:tcPr>
            <w:tcW w:w="785" w:type="dxa"/>
            <w:noWrap w:val="0"/>
            <w:tcMar>
              <w:top w:w="60" w:type="dxa"/>
              <w:left w:w="120" w:type="dxa"/>
              <w:bottom w:w="30" w:type="dxa"/>
              <w:right w:w="120" w:type="dxa"/>
            </w:tcMar>
            <w:vAlign w:val="center"/>
          </w:tcPr>
          <w:p w14:paraId="30A49839">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分值</w:t>
            </w:r>
          </w:p>
        </w:tc>
        <w:tc>
          <w:tcPr>
            <w:tcW w:w="2740" w:type="dxa"/>
            <w:noWrap w:val="0"/>
            <w:tcMar>
              <w:top w:w="60" w:type="dxa"/>
              <w:left w:w="120" w:type="dxa"/>
              <w:bottom w:w="30" w:type="dxa"/>
              <w:right w:w="120" w:type="dxa"/>
            </w:tcMar>
            <w:vAlign w:val="center"/>
          </w:tcPr>
          <w:p w14:paraId="7AF39884">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量化标准</w:t>
            </w:r>
          </w:p>
        </w:tc>
        <w:tc>
          <w:tcPr>
            <w:tcW w:w="2781" w:type="dxa"/>
            <w:noWrap w:val="0"/>
            <w:tcMar>
              <w:top w:w="60" w:type="dxa"/>
              <w:left w:w="120" w:type="dxa"/>
              <w:bottom w:w="30" w:type="dxa"/>
              <w:right w:w="120" w:type="dxa"/>
            </w:tcMar>
            <w:vAlign w:val="center"/>
          </w:tcPr>
          <w:p w14:paraId="22DC78FB">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扣分规则</w:t>
            </w:r>
          </w:p>
        </w:tc>
        <w:tc>
          <w:tcPr>
            <w:tcW w:w="1412" w:type="dxa"/>
            <w:noWrap w:val="0"/>
            <w:tcMar>
              <w:top w:w="60" w:type="dxa"/>
              <w:left w:w="120" w:type="dxa"/>
              <w:bottom w:w="30" w:type="dxa"/>
              <w:right w:w="120" w:type="dxa"/>
            </w:tcMar>
            <w:vAlign w:val="center"/>
          </w:tcPr>
          <w:p w14:paraId="727FEBB3">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数据来源</w:t>
            </w:r>
          </w:p>
        </w:tc>
      </w:tr>
      <w:tr w14:paraId="323D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475" w:type="dxa"/>
            <w:noWrap w:val="0"/>
            <w:tcMar>
              <w:top w:w="60" w:type="dxa"/>
              <w:left w:w="120" w:type="dxa"/>
              <w:bottom w:w="30" w:type="dxa"/>
              <w:right w:w="120" w:type="dxa"/>
            </w:tcMar>
            <w:vAlign w:val="center"/>
          </w:tcPr>
          <w:p w14:paraId="03C98BB9">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平台正常运行保障</w:t>
            </w:r>
          </w:p>
        </w:tc>
        <w:tc>
          <w:tcPr>
            <w:tcW w:w="785" w:type="dxa"/>
            <w:noWrap w:val="0"/>
            <w:tcMar>
              <w:top w:w="60" w:type="dxa"/>
              <w:left w:w="120" w:type="dxa"/>
              <w:bottom w:w="30" w:type="dxa"/>
              <w:right w:w="120" w:type="dxa"/>
            </w:tcMar>
            <w:vAlign w:val="center"/>
          </w:tcPr>
          <w:p w14:paraId="526C3023">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2740" w:type="dxa"/>
            <w:noWrap w:val="0"/>
            <w:tcMar>
              <w:top w:w="60" w:type="dxa"/>
              <w:left w:w="120" w:type="dxa"/>
              <w:bottom w:w="30" w:type="dxa"/>
              <w:right w:w="120" w:type="dxa"/>
            </w:tcMar>
            <w:vAlign w:val="center"/>
          </w:tcPr>
          <w:p w14:paraId="2200D37B">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季度内平台7×24小时稳定运行，合规维护停机需提前报备，非计划停机时长≤4小时/季度，无全平台瘫痪情况</w:t>
            </w:r>
          </w:p>
        </w:tc>
        <w:tc>
          <w:tcPr>
            <w:tcW w:w="2781" w:type="dxa"/>
            <w:noWrap w:val="0"/>
            <w:tcMar>
              <w:top w:w="60" w:type="dxa"/>
              <w:left w:w="120" w:type="dxa"/>
              <w:bottom w:w="30" w:type="dxa"/>
              <w:right w:w="120" w:type="dxa"/>
            </w:tcMar>
            <w:vAlign w:val="center"/>
          </w:tcPr>
          <w:p w14:paraId="369721A0">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非计划停机每超1小时扣1.5分，全平台瘫痪1次扣4分，低于2小时/季度不扣分</w:t>
            </w:r>
          </w:p>
        </w:tc>
        <w:tc>
          <w:tcPr>
            <w:tcW w:w="1412" w:type="dxa"/>
            <w:noWrap w:val="0"/>
            <w:tcMar>
              <w:top w:w="60" w:type="dxa"/>
              <w:left w:w="120" w:type="dxa"/>
              <w:bottom w:w="30" w:type="dxa"/>
              <w:right w:w="120" w:type="dxa"/>
            </w:tcMar>
            <w:vAlign w:val="center"/>
          </w:tcPr>
          <w:p w14:paraId="76C5B1BC">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平台运行日志、故障报备记录</w:t>
            </w:r>
          </w:p>
        </w:tc>
      </w:tr>
      <w:tr w14:paraId="7777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475" w:type="dxa"/>
            <w:noWrap w:val="0"/>
            <w:tcMar>
              <w:top w:w="60" w:type="dxa"/>
              <w:left w:w="120" w:type="dxa"/>
              <w:bottom w:w="30" w:type="dxa"/>
              <w:right w:w="120" w:type="dxa"/>
            </w:tcMar>
            <w:vAlign w:val="center"/>
          </w:tcPr>
          <w:p w14:paraId="25A1E42D">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后台管理与内容审核</w:t>
            </w:r>
          </w:p>
        </w:tc>
        <w:tc>
          <w:tcPr>
            <w:tcW w:w="785" w:type="dxa"/>
            <w:noWrap w:val="0"/>
            <w:tcMar>
              <w:top w:w="60" w:type="dxa"/>
              <w:left w:w="120" w:type="dxa"/>
              <w:bottom w:w="30" w:type="dxa"/>
              <w:right w:w="120" w:type="dxa"/>
            </w:tcMar>
            <w:vAlign w:val="center"/>
          </w:tcPr>
          <w:p w14:paraId="4289E241">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2740" w:type="dxa"/>
            <w:noWrap w:val="0"/>
            <w:tcMar>
              <w:top w:w="60" w:type="dxa"/>
              <w:left w:w="120" w:type="dxa"/>
              <w:bottom w:w="30" w:type="dxa"/>
              <w:right w:w="120" w:type="dxa"/>
            </w:tcMar>
            <w:vAlign w:val="center"/>
          </w:tcPr>
          <w:p w14:paraId="4CA7757D">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按合同要求完成平台后台日常管理，定期审核内容数据，用户可正常访问使用所有功能，功能故障发生率≤1%</w:t>
            </w:r>
          </w:p>
        </w:tc>
        <w:tc>
          <w:tcPr>
            <w:tcW w:w="2781" w:type="dxa"/>
            <w:noWrap w:val="0"/>
            <w:tcMar>
              <w:top w:w="60" w:type="dxa"/>
              <w:left w:w="120" w:type="dxa"/>
              <w:bottom w:w="30" w:type="dxa"/>
              <w:right w:w="120" w:type="dxa"/>
            </w:tcMar>
            <w:vAlign w:val="center"/>
          </w:tcPr>
          <w:p w14:paraId="724209F6">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功能故障每出现1次扣1分，未定期审核内容扣2分/次</w:t>
            </w:r>
          </w:p>
        </w:tc>
        <w:tc>
          <w:tcPr>
            <w:tcW w:w="1412" w:type="dxa"/>
            <w:noWrap w:val="0"/>
            <w:tcMar>
              <w:top w:w="60" w:type="dxa"/>
              <w:left w:w="120" w:type="dxa"/>
              <w:bottom w:w="30" w:type="dxa"/>
              <w:right w:w="120" w:type="dxa"/>
            </w:tcMar>
            <w:vAlign w:val="center"/>
          </w:tcPr>
          <w:p w14:paraId="1585720D">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后台管理台账、功能使用测试记录</w:t>
            </w:r>
          </w:p>
        </w:tc>
      </w:tr>
      <w:tr w14:paraId="58D6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475" w:type="dxa"/>
            <w:noWrap w:val="0"/>
            <w:tcMar>
              <w:top w:w="60" w:type="dxa"/>
              <w:left w:w="120" w:type="dxa"/>
              <w:bottom w:w="30" w:type="dxa"/>
              <w:right w:w="120" w:type="dxa"/>
            </w:tcMar>
            <w:vAlign w:val="center"/>
          </w:tcPr>
          <w:p w14:paraId="6D48B9BF">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角色权限管理</w:t>
            </w:r>
          </w:p>
          <w:p w14:paraId="0D8855B4">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p>
        </w:tc>
        <w:tc>
          <w:tcPr>
            <w:tcW w:w="785" w:type="dxa"/>
            <w:noWrap w:val="0"/>
            <w:tcMar>
              <w:top w:w="60" w:type="dxa"/>
              <w:left w:w="120" w:type="dxa"/>
              <w:bottom w:w="30" w:type="dxa"/>
              <w:right w:w="120" w:type="dxa"/>
            </w:tcMar>
            <w:vAlign w:val="center"/>
          </w:tcPr>
          <w:p w14:paraId="037C610B">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2740" w:type="dxa"/>
            <w:noWrap w:val="0"/>
            <w:tcMar>
              <w:top w:w="60" w:type="dxa"/>
              <w:left w:w="120" w:type="dxa"/>
              <w:bottom w:w="30" w:type="dxa"/>
              <w:right w:w="120" w:type="dxa"/>
            </w:tcMar>
            <w:vAlign w:val="center"/>
          </w:tcPr>
          <w:p w14:paraId="2104491C">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每月定期更新平台角色权限清单并提交甲方备案，权限变更及时同步，清单完整准确率100%</w:t>
            </w:r>
          </w:p>
        </w:tc>
        <w:tc>
          <w:tcPr>
            <w:tcW w:w="2781" w:type="dxa"/>
            <w:noWrap w:val="0"/>
            <w:tcMar>
              <w:top w:w="60" w:type="dxa"/>
              <w:left w:w="120" w:type="dxa"/>
              <w:bottom w:w="30" w:type="dxa"/>
              <w:right w:w="120" w:type="dxa"/>
            </w:tcMar>
            <w:vAlign w:val="center"/>
          </w:tcPr>
          <w:p w14:paraId="75DD637F">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未按时提交清单扣2分/次，清单有误扣1分/项，权限变更未同步扣1分/次</w:t>
            </w:r>
          </w:p>
        </w:tc>
        <w:tc>
          <w:tcPr>
            <w:tcW w:w="1412" w:type="dxa"/>
            <w:noWrap w:val="0"/>
            <w:tcMar>
              <w:top w:w="60" w:type="dxa"/>
              <w:left w:w="120" w:type="dxa"/>
              <w:bottom w:w="30" w:type="dxa"/>
              <w:right w:w="120" w:type="dxa"/>
            </w:tcMar>
            <w:vAlign w:val="center"/>
          </w:tcPr>
          <w:p w14:paraId="77704CF5">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权限清单备案记录、变更记录</w:t>
            </w:r>
          </w:p>
        </w:tc>
      </w:tr>
    </w:tbl>
    <w:p w14:paraId="0BED9436">
      <w:pPr>
        <w:shd w:val="clear" w:color="auto" w:fill="auto"/>
        <w:spacing w:before="380" w:after="140" w:line="288" w:lineRule="auto"/>
        <w:ind w:left="0"/>
        <w:jc w:val="left"/>
        <w:outlineLvl w:val="0"/>
        <w:rPr>
          <w:rFonts w:hint="eastAsia" w:ascii="黑体" w:hAnsi="黑体" w:eastAsia="黑体" w:cs="黑体"/>
          <w:b w:val="0"/>
          <w:bCs/>
          <w:color w:val="auto"/>
          <w:sz w:val="28"/>
          <w:szCs w:val="28"/>
          <w:highlight w:val="none"/>
        </w:rPr>
      </w:pPr>
      <w:bookmarkStart w:id="4" w:name="heading_1"/>
      <w:r>
        <w:rPr>
          <w:rFonts w:hint="eastAsia" w:ascii="黑体" w:hAnsi="黑体" w:eastAsia="黑体" w:cs="黑体"/>
          <w:b w:val="0"/>
          <w:bCs/>
          <w:color w:val="auto"/>
          <w:sz w:val="28"/>
          <w:szCs w:val="28"/>
          <w:highlight w:val="none"/>
        </w:rPr>
        <w:t>二、核心</w:t>
      </w:r>
      <w:r>
        <w:rPr>
          <w:rFonts w:hint="eastAsia" w:ascii="黑体" w:hAnsi="黑体" w:eastAsia="黑体" w:cs="黑体"/>
          <w:b w:val="0"/>
          <w:bCs/>
          <w:color w:val="auto"/>
          <w:sz w:val="28"/>
          <w:szCs w:val="28"/>
          <w:highlight w:val="none"/>
          <w:lang w:val="en-US" w:eastAsia="zh-CN"/>
        </w:rPr>
        <w:t>运营团队配置</w:t>
      </w:r>
      <w:r>
        <w:rPr>
          <w:rFonts w:hint="eastAsia" w:ascii="黑体" w:hAnsi="黑体" w:eastAsia="黑体" w:cs="黑体"/>
          <w:b w:val="0"/>
          <w:bCs/>
          <w:color w:val="auto"/>
          <w:sz w:val="28"/>
          <w:szCs w:val="28"/>
          <w:highlight w:val="none"/>
        </w:rPr>
        <w:t>考核（</w:t>
      </w:r>
      <w:r>
        <w:rPr>
          <w:rFonts w:hint="eastAsia" w:ascii="黑体" w:hAnsi="黑体" w:eastAsia="黑体" w:cs="黑体"/>
          <w:b w:val="0"/>
          <w:bCs/>
          <w:color w:val="auto"/>
          <w:sz w:val="28"/>
          <w:szCs w:val="28"/>
          <w:highlight w:val="none"/>
          <w:lang w:val="en-US" w:eastAsia="zh-CN"/>
        </w:rPr>
        <w:t>12</w:t>
      </w:r>
      <w:r>
        <w:rPr>
          <w:rFonts w:hint="eastAsia" w:ascii="黑体" w:hAnsi="黑体" w:eastAsia="黑体" w:cs="黑体"/>
          <w:b w:val="0"/>
          <w:bCs/>
          <w:color w:val="auto"/>
          <w:sz w:val="28"/>
          <w:szCs w:val="28"/>
          <w:highlight w:val="none"/>
        </w:rPr>
        <w:t>分）</w:t>
      </w:r>
      <w:bookmarkEnd w:id="4"/>
    </w:p>
    <w:tbl>
      <w:tblPr>
        <w:tblStyle w:val="42"/>
        <w:tblW w:w="9131"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1438"/>
        <w:gridCol w:w="750"/>
        <w:gridCol w:w="2756"/>
        <w:gridCol w:w="2781"/>
        <w:gridCol w:w="1406"/>
      </w:tblGrid>
      <w:tr w14:paraId="433FCBA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tblHeader/>
          <w:jc w:val="center"/>
        </w:trPr>
        <w:tc>
          <w:tcPr>
            <w:tcW w:w="143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C490F5C">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考核指标</w:t>
            </w:r>
          </w:p>
        </w:tc>
        <w:tc>
          <w:tcPr>
            <w:tcW w:w="75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76EB1D9E">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分值</w:t>
            </w:r>
          </w:p>
        </w:tc>
        <w:tc>
          <w:tcPr>
            <w:tcW w:w="2756"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8D2F9C6">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量化标准</w:t>
            </w:r>
          </w:p>
        </w:tc>
        <w:tc>
          <w:tcPr>
            <w:tcW w:w="2781"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61094BA">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扣分规则</w:t>
            </w:r>
          </w:p>
        </w:tc>
        <w:tc>
          <w:tcPr>
            <w:tcW w:w="1406"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1F37DFB">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数据来源</w:t>
            </w:r>
          </w:p>
        </w:tc>
      </w:tr>
      <w:tr w14:paraId="3987762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3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7263DAEE">
            <w:pPr>
              <w:shd w:val="clear" w:color="auto" w:fill="auto"/>
              <w:snapToGrid w:val="0"/>
              <w:spacing w:before="120" w:after="120" w:line="240" w:lineRule="auto"/>
              <w:ind w:left="0" w:leftChars="0" w:right="0" w:rightChars="0" w:firstLine="0" w:firstLineChars="0"/>
              <w:jc w:val="center"/>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核心人员配置</w:t>
            </w:r>
          </w:p>
        </w:tc>
        <w:tc>
          <w:tcPr>
            <w:tcW w:w="75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DC42715">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val="en-US" w:eastAsia="zh-CN"/>
              </w:rPr>
              <w:t>7</w:t>
            </w:r>
          </w:p>
        </w:tc>
        <w:tc>
          <w:tcPr>
            <w:tcW w:w="2756"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5A15C07">
            <w:pPr>
              <w:keepNext w:val="0"/>
              <w:keepLines w:val="0"/>
              <w:widowControl/>
              <w:suppressLineNumbers w:val="0"/>
              <w:shd w:val="clear" w:color="auto" w:fill="auto"/>
              <w:jc w:val="left"/>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足额派驻运营经理1名、运营专员≥1名，核心人员资质符合要求，无缺配、无擅自更换核心人员</w:t>
            </w:r>
          </w:p>
        </w:tc>
        <w:tc>
          <w:tcPr>
            <w:tcW w:w="2781"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969A5FB">
            <w:pPr>
              <w:keepNext w:val="0"/>
              <w:keepLines w:val="0"/>
              <w:widowControl/>
              <w:suppressLineNumbers w:val="0"/>
              <w:shd w:val="clear" w:color="auto" w:fill="auto"/>
              <w:jc w:val="left"/>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运营经理缺配扣7分，运营专员每少1名扣3分，擅自更换核心人员扣4分/次</w:t>
            </w:r>
          </w:p>
        </w:tc>
        <w:tc>
          <w:tcPr>
            <w:tcW w:w="1406"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62A9F6D">
            <w:pPr>
              <w:keepNext w:val="0"/>
              <w:keepLines w:val="0"/>
              <w:widowControl/>
              <w:suppressLineNumbers w:val="0"/>
              <w:shd w:val="clear" w:color="auto" w:fill="auto"/>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人员派驻表、资质备案、考勤记录</w:t>
            </w:r>
          </w:p>
        </w:tc>
      </w:tr>
      <w:tr w14:paraId="5A357C4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3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F7B5FA1">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驻场与履职</w:t>
            </w:r>
          </w:p>
          <w:p w14:paraId="279F3406">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b w:val="0"/>
                <w:bCs/>
                <w:color w:val="auto"/>
                <w:sz w:val="24"/>
                <w:szCs w:val="24"/>
                <w:highlight w:val="none"/>
                <w:lang w:val="en-US" w:eastAsia="zh-CN"/>
              </w:rPr>
            </w:pPr>
          </w:p>
        </w:tc>
        <w:tc>
          <w:tcPr>
            <w:tcW w:w="75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D17FC95">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w:t>
            </w:r>
          </w:p>
        </w:tc>
        <w:tc>
          <w:tcPr>
            <w:tcW w:w="2756"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45DFB4B">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核心团队按要求驻场履职，完成日常运营、推广、培训协助等工作，履职到位率100%</w:t>
            </w:r>
          </w:p>
        </w:tc>
        <w:tc>
          <w:tcPr>
            <w:tcW w:w="2781"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9561879">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驻场不达标扣2分/人，履职不到位扣1分/项</w:t>
            </w:r>
          </w:p>
        </w:tc>
        <w:tc>
          <w:tcPr>
            <w:tcW w:w="1406"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76ABD6FC">
            <w:pPr>
              <w:shd w:val="clear" w:color="auto" w:fill="auto"/>
              <w:snapToGrid w:val="0"/>
              <w:spacing w:before="120" w:after="120" w:line="240" w:lineRule="auto"/>
              <w:ind w:left="0" w:leftChars="0" w:right="0" w:rightChars="0" w:firstLine="0" w:firstLineChars="0"/>
              <w:jc w:val="center"/>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现场核查记录、工作履职台账</w:t>
            </w:r>
          </w:p>
        </w:tc>
      </w:tr>
    </w:tbl>
    <w:p w14:paraId="0FE9E2BC">
      <w:pPr>
        <w:shd w:val="clear" w:color="auto" w:fill="auto"/>
        <w:spacing w:before="380" w:after="140" w:line="288" w:lineRule="auto"/>
        <w:ind w:left="0"/>
        <w:jc w:val="left"/>
        <w:outlineLvl w:val="0"/>
        <w:rPr>
          <w:rFonts w:hint="eastAsia" w:ascii="黑体" w:hAnsi="黑体" w:eastAsia="黑体" w:cs="黑体"/>
          <w:b w:val="0"/>
          <w:bCs/>
          <w:color w:val="auto"/>
          <w:sz w:val="28"/>
          <w:szCs w:val="28"/>
          <w:highlight w:val="none"/>
        </w:rPr>
      </w:pPr>
      <w:bookmarkStart w:id="5" w:name="heading_2"/>
    </w:p>
    <w:p w14:paraId="79123927">
      <w:pPr>
        <w:shd w:val="clear" w:color="auto" w:fill="auto"/>
        <w:spacing w:before="380" w:after="140" w:line="288" w:lineRule="auto"/>
        <w:ind w:left="0"/>
        <w:jc w:val="left"/>
        <w:outlineLvl w:val="0"/>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w:t>
      </w:r>
      <w:r>
        <w:rPr>
          <w:rFonts w:hint="eastAsia" w:ascii="黑体" w:hAnsi="黑体" w:eastAsia="黑体" w:cs="黑体"/>
          <w:b w:val="0"/>
          <w:bCs/>
          <w:color w:val="auto"/>
          <w:sz w:val="28"/>
          <w:szCs w:val="28"/>
          <w:highlight w:val="none"/>
          <w:lang w:val="en-US" w:eastAsia="zh-CN"/>
        </w:rPr>
        <w:t>业务拓展与服务落地</w:t>
      </w:r>
      <w:r>
        <w:rPr>
          <w:rFonts w:hint="eastAsia" w:ascii="黑体" w:hAnsi="黑体" w:eastAsia="黑体" w:cs="黑体"/>
          <w:b w:val="0"/>
          <w:bCs/>
          <w:color w:val="auto"/>
          <w:sz w:val="28"/>
          <w:szCs w:val="28"/>
          <w:highlight w:val="none"/>
        </w:rPr>
        <w:t>考核（2</w:t>
      </w:r>
      <w:r>
        <w:rPr>
          <w:rFonts w:hint="eastAsia" w:ascii="黑体" w:hAnsi="黑体" w:eastAsia="黑体" w:cs="黑体"/>
          <w:b w:val="0"/>
          <w:bCs/>
          <w:color w:val="auto"/>
          <w:sz w:val="28"/>
          <w:szCs w:val="28"/>
          <w:highlight w:val="none"/>
          <w:lang w:val="en-US" w:eastAsia="zh-CN"/>
        </w:rPr>
        <w:t>5</w:t>
      </w:r>
      <w:r>
        <w:rPr>
          <w:rFonts w:hint="eastAsia" w:ascii="黑体" w:hAnsi="黑体" w:eastAsia="黑体" w:cs="黑体"/>
          <w:b w:val="0"/>
          <w:bCs/>
          <w:color w:val="auto"/>
          <w:sz w:val="28"/>
          <w:szCs w:val="28"/>
          <w:highlight w:val="none"/>
        </w:rPr>
        <w:t>分）</w:t>
      </w:r>
      <w:bookmarkEnd w:id="5"/>
    </w:p>
    <w:tbl>
      <w:tblPr>
        <w:tblStyle w:val="42"/>
        <w:tblpPr w:leftFromText="180" w:rightFromText="180" w:vertAnchor="text" w:horzAnchor="page" w:tblpX="1505" w:tblpY="6"/>
        <w:tblOverlap w:val="never"/>
        <w:tblW w:w="9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54"/>
        <w:gridCol w:w="723"/>
        <w:gridCol w:w="2782"/>
        <w:gridCol w:w="2768"/>
        <w:gridCol w:w="1418"/>
      </w:tblGrid>
      <w:tr w14:paraId="6A62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trPr>
        <w:tc>
          <w:tcPr>
            <w:tcW w:w="1454" w:type="dxa"/>
            <w:noWrap w:val="0"/>
            <w:tcMar>
              <w:top w:w="60" w:type="dxa"/>
              <w:left w:w="120" w:type="dxa"/>
              <w:bottom w:w="30" w:type="dxa"/>
              <w:right w:w="120" w:type="dxa"/>
            </w:tcMar>
            <w:vAlign w:val="center"/>
          </w:tcPr>
          <w:p w14:paraId="0E5454C0">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考核指标</w:t>
            </w:r>
          </w:p>
        </w:tc>
        <w:tc>
          <w:tcPr>
            <w:tcW w:w="723" w:type="dxa"/>
            <w:noWrap w:val="0"/>
            <w:tcMar>
              <w:top w:w="60" w:type="dxa"/>
              <w:left w:w="120" w:type="dxa"/>
              <w:bottom w:w="30" w:type="dxa"/>
              <w:right w:w="120" w:type="dxa"/>
            </w:tcMar>
            <w:vAlign w:val="center"/>
          </w:tcPr>
          <w:p w14:paraId="4D236AD0">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分值</w:t>
            </w:r>
          </w:p>
        </w:tc>
        <w:tc>
          <w:tcPr>
            <w:tcW w:w="2782" w:type="dxa"/>
            <w:noWrap w:val="0"/>
            <w:tcMar>
              <w:top w:w="60" w:type="dxa"/>
              <w:left w:w="120" w:type="dxa"/>
              <w:bottom w:w="30" w:type="dxa"/>
              <w:right w:w="120" w:type="dxa"/>
            </w:tcMar>
            <w:vAlign w:val="center"/>
          </w:tcPr>
          <w:p w14:paraId="3698B15E">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量化标准</w:t>
            </w:r>
          </w:p>
        </w:tc>
        <w:tc>
          <w:tcPr>
            <w:tcW w:w="2768" w:type="dxa"/>
            <w:noWrap w:val="0"/>
            <w:tcMar>
              <w:top w:w="60" w:type="dxa"/>
              <w:left w:w="120" w:type="dxa"/>
              <w:bottom w:w="30" w:type="dxa"/>
              <w:right w:w="120" w:type="dxa"/>
            </w:tcMar>
            <w:vAlign w:val="center"/>
          </w:tcPr>
          <w:p w14:paraId="0C96A0FA">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扣分规则</w:t>
            </w:r>
          </w:p>
        </w:tc>
        <w:tc>
          <w:tcPr>
            <w:tcW w:w="1418" w:type="dxa"/>
            <w:noWrap w:val="0"/>
            <w:tcMar>
              <w:top w:w="60" w:type="dxa"/>
              <w:left w:w="120" w:type="dxa"/>
              <w:bottom w:w="30" w:type="dxa"/>
              <w:right w:w="120" w:type="dxa"/>
            </w:tcMar>
            <w:vAlign w:val="center"/>
          </w:tcPr>
          <w:p w14:paraId="56638568">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数据来源</w:t>
            </w:r>
          </w:p>
        </w:tc>
      </w:tr>
      <w:tr w14:paraId="3004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1454" w:type="dxa"/>
            <w:noWrap w:val="0"/>
            <w:tcMar>
              <w:top w:w="60" w:type="dxa"/>
              <w:left w:w="120" w:type="dxa"/>
              <w:bottom w:w="30" w:type="dxa"/>
              <w:right w:w="120" w:type="dxa"/>
            </w:tcMar>
            <w:vAlign w:val="center"/>
          </w:tcPr>
          <w:p w14:paraId="4FEE176E">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医疗机构与业务拓展</w:t>
            </w:r>
          </w:p>
        </w:tc>
        <w:tc>
          <w:tcPr>
            <w:tcW w:w="723" w:type="dxa"/>
            <w:noWrap w:val="0"/>
            <w:tcMar>
              <w:top w:w="60" w:type="dxa"/>
              <w:left w:w="120" w:type="dxa"/>
              <w:bottom w:w="30" w:type="dxa"/>
              <w:right w:w="120" w:type="dxa"/>
            </w:tcMar>
            <w:vAlign w:val="center"/>
          </w:tcPr>
          <w:p w14:paraId="2630B9D5">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8</w:t>
            </w:r>
          </w:p>
        </w:tc>
        <w:tc>
          <w:tcPr>
            <w:tcW w:w="2782" w:type="dxa"/>
            <w:noWrap w:val="0"/>
            <w:tcMar>
              <w:top w:w="60" w:type="dxa"/>
              <w:left w:w="120" w:type="dxa"/>
              <w:bottom w:w="30" w:type="dxa"/>
              <w:right w:w="120" w:type="dxa"/>
            </w:tcMar>
            <w:vAlign w:val="center"/>
          </w:tcPr>
          <w:p w14:paraId="4FE08318">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按运营计划拓展医疗机构入驻，完成数字影像、处方流转、护理上门、家庭病床、慢病管理等业务上线，季度业务拓展完成率≥90%</w:t>
            </w:r>
          </w:p>
        </w:tc>
        <w:tc>
          <w:tcPr>
            <w:tcW w:w="2768" w:type="dxa"/>
            <w:noWrap w:val="0"/>
            <w:tcMar>
              <w:top w:w="60" w:type="dxa"/>
              <w:left w:w="120" w:type="dxa"/>
              <w:bottom w:w="30" w:type="dxa"/>
              <w:right w:w="120" w:type="dxa"/>
            </w:tcMar>
            <w:vAlign w:val="center"/>
          </w:tcPr>
          <w:p w14:paraId="59660AB6">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完成率每低10%扣2分，核心业务未上线扣3分/项</w:t>
            </w:r>
          </w:p>
        </w:tc>
        <w:tc>
          <w:tcPr>
            <w:tcW w:w="1418" w:type="dxa"/>
            <w:noWrap w:val="0"/>
            <w:tcMar>
              <w:top w:w="60" w:type="dxa"/>
              <w:left w:w="120" w:type="dxa"/>
              <w:bottom w:w="30" w:type="dxa"/>
              <w:right w:w="120" w:type="dxa"/>
            </w:tcMar>
            <w:vAlign w:val="center"/>
          </w:tcPr>
          <w:p w14:paraId="7A82048A">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入驻机构名单、业务上线台账</w:t>
            </w:r>
          </w:p>
        </w:tc>
      </w:tr>
      <w:tr w14:paraId="2E96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1454" w:type="dxa"/>
            <w:noWrap w:val="0"/>
            <w:tcMar>
              <w:top w:w="60" w:type="dxa"/>
              <w:left w:w="120" w:type="dxa"/>
              <w:bottom w:w="30" w:type="dxa"/>
              <w:right w:w="120" w:type="dxa"/>
            </w:tcMar>
            <w:vAlign w:val="center"/>
          </w:tcPr>
          <w:p w14:paraId="338A762D">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运营计划执行</w:t>
            </w:r>
          </w:p>
        </w:tc>
        <w:tc>
          <w:tcPr>
            <w:tcW w:w="723" w:type="dxa"/>
            <w:noWrap w:val="0"/>
            <w:tcMar>
              <w:top w:w="60" w:type="dxa"/>
              <w:left w:w="120" w:type="dxa"/>
              <w:bottom w:w="30" w:type="dxa"/>
              <w:right w:w="120" w:type="dxa"/>
            </w:tcMar>
            <w:vAlign w:val="center"/>
          </w:tcPr>
          <w:p w14:paraId="1980816E">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6</w:t>
            </w:r>
          </w:p>
        </w:tc>
        <w:tc>
          <w:tcPr>
            <w:tcW w:w="2782" w:type="dxa"/>
            <w:noWrap w:val="0"/>
            <w:tcMar>
              <w:top w:w="60" w:type="dxa"/>
              <w:left w:w="120" w:type="dxa"/>
              <w:bottom w:w="30" w:type="dxa"/>
              <w:right w:w="120" w:type="dxa"/>
            </w:tcMar>
            <w:vAlign w:val="center"/>
          </w:tcPr>
          <w:p w14:paraId="587E0411">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按合同要求制定年度/季度/月度运营计划并报甲方备案，严格按计划执行，计划执行率≥95%</w:t>
            </w:r>
          </w:p>
        </w:tc>
        <w:tc>
          <w:tcPr>
            <w:tcW w:w="2768" w:type="dxa"/>
            <w:noWrap w:val="0"/>
            <w:tcMar>
              <w:top w:w="60" w:type="dxa"/>
              <w:left w:w="120" w:type="dxa"/>
              <w:bottom w:w="30" w:type="dxa"/>
              <w:right w:w="120" w:type="dxa"/>
            </w:tcMar>
            <w:vAlign w:val="center"/>
          </w:tcPr>
          <w:p w14:paraId="487C6500">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未提交计划扣3分/周期，执行率每低5%扣1.5分</w:t>
            </w:r>
          </w:p>
        </w:tc>
        <w:tc>
          <w:tcPr>
            <w:tcW w:w="1418" w:type="dxa"/>
            <w:noWrap w:val="0"/>
            <w:tcMar>
              <w:top w:w="60" w:type="dxa"/>
              <w:left w:w="120" w:type="dxa"/>
              <w:bottom w:w="30" w:type="dxa"/>
              <w:right w:w="120" w:type="dxa"/>
            </w:tcMar>
            <w:vAlign w:val="center"/>
          </w:tcPr>
          <w:p w14:paraId="10DD2909">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运营计划备案表、执行进度台账</w:t>
            </w:r>
          </w:p>
        </w:tc>
      </w:tr>
      <w:tr w14:paraId="0537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1454" w:type="dxa"/>
            <w:noWrap w:val="0"/>
            <w:tcMar>
              <w:top w:w="60" w:type="dxa"/>
              <w:left w:w="120" w:type="dxa"/>
              <w:bottom w:w="30" w:type="dxa"/>
              <w:right w:w="120" w:type="dxa"/>
            </w:tcMar>
            <w:vAlign w:val="center"/>
          </w:tcPr>
          <w:p w14:paraId="2C3FFC8C">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订单转化与核销</w:t>
            </w:r>
          </w:p>
        </w:tc>
        <w:tc>
          <w:tcPr>
            <w:tcW w:w="723" w:type="dxa"/>
            <w:noWrap w:val="0"/>
            <w:tcMar>
              <w:top w:w="60" w:type="dxa"/>
              <w:left w:w="120" w:type="dxa"/>
              <w:bottom w:w="30" w:type="dxa"/>
              <w:right w:w="120" w:type="dxa"/>
            </w:tcMar>
            <w:vAlign w:val="center"/>
          </w:tcPr>
          <w:p w14:paraId="7693899C">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6</w:t>
            </w:r>
          </w:p>
        </w:tc>
        <w:tc>
          <w:tcPr>
            <w:tcW w:w="2782" w:type="dxa"/>
            <w:noWrap w:val="0"/>
            <w:tcMar>
              <w:top w:w="60" w:type="dxa"/>
              <w:left w:w="120" w:type="dxa"/>
              <w:bottom w:w="30" w:type="dxa"/>
              <w:right w:w="120" w:type="dxa"/>
            </w:tcMar>
            <w:vAlign w:val="center"/>
          </w:tcPr>
          <w:p w14:paraId="0588AE51">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推动平台业务订单转化与核销，季度订单核销率≥85%，无订单滞留未核销情况</w:t>
            </w:r>
          </w:p>
        </w:tc>
        <w:tc>
          <w:tcPr>
            <w:tcW w:w="2768" w:type="dxa"/>
            <w:noWrap w:val="0"/>
            <w:tcMar>
              <w:top w:w="60" w:type="dxa"/>
              <w:left w:w="120" w:type="dxa"/>
              <w:bottom w:w="30" w:type="dxa"/>
              <w:right w:w="120" w:type="dxa"/>
            </w:tcMar>
            <w:vAlign w:val="center"/>
          </w:tcPr>
          <w:p w14:paraId="71B45614">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核销率每低5%扣2分，订单滞留扣1分/批次</w:t>
            </w:r>
          </w:p>
        </w:tc>
        <w:tc>
          <w:tcPr>
            <w:tcW w:w="1418" w:type="dxa"/>
            <w:noWrap w:val="0"/>
            <w:tcMar>
              <w:top w:w="60" w:type="dxa"/>
              <w:left w:w="120" w:type="dxa"/>
              <w:bottom w:w="30" w:type="dxa"/>
              <w:right w:w="120" w:type="dxa"/>
            </w:tcMar>
            <w:vAlign w:val="center"/>
          </w:tcPr>
          <w:p w14:paraId="498685E8">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平台订单后台、核销记录</w:t>
            </w:r>
          </w:p>
        </w:tc>
      </w:tr>
      <w:tr w14:paraId="3C88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1454" w:type="dxa"/>
            <w:noWrap w:val="0"/>
            <w:tcMar>
              <w:top w:w="60" w:type="dxa"/>
              <w:left w:w="120" w:type="dxa"/>
              <w:bottom w:w="30" w:type="dxa"/>
              <w:right w:w="120" w:type="dxa"/>
            </w:tcMar>
            <w:vAlign w:val="center"/>
          </w:tcPr>
          <w:p w14:paraId="4244B91E">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特色业务挖掘</w:t>
            </w:r>
          </w:p>
        </w:tc>
        <w:tc>
          <w:tcPr>
            <w:tcW w:w="723" w:type="dxa"/>
            <w:noWrap w:val="0"/>
            <w:tcMar>
              <w:top w:w="60" w:type="dxa"/>
              <w:left w:w="120" w:type="dxa"/>
              <w:bottom w:w="30" w:type="dxa"/>
              <w:right w:w="120" w:type="dxa"/>
            </w:tcMar>
            <w:vAlign w:val="center"/>
          </w:tcPr>
          <w:p w14:paraId="193A5C72">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5</w:t>
            </w:r>
          </w:p>
        </w:tc>
        <w:tc>
          <w:tcPr>
            <w:tcW w:w="2782" w:type="dxa"/>
            <w:noWrap w:val="0"/>
            <w:tcMar>
              <w:top w:w="60" w:type="dxa"/>
              <w:left w:w="120" w:type="dxa"/>
              <w:bottom w:w="30" w:type="dxa"/>
              <w:right w:w="120" w:type="dxa"/>
            </w:tcMar>
            <w:vAlign w:val="center"/>
          </w:tcPr>
          <w:p w14:paraId="5FE9401D">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挖掘入驻机构特色服务，完成品牌包装、套餐设计与推广，季度新增特色套餐≥3款</w:t>
            </w:r>
          </w:p>
        </w:tc>
        <w:tc>
          <w:tcPr>
            <w:tcW w:w="2768" w:type="dxa"/>
            <w:noWrap w:val="0"/>
            <w:tcMar>
              <w:top w:w="60" w:type="dxa"/>
              <w:left w:w="120" w:type="dxa"/>
              <w:bottom w:w="30" w:type="dxa"/>
              <w:right w:w="120" w:type="dxa"/>
            </w:tcMar>
            <w:vAlign w:val="center"/>
          </w:tcPr>
          <w:p w14:paraId="240A7F62">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每少1款扣2分，未做包装推广扣1分/款</w:t>
            </w:r>
          </w:p>
        </w:tc>
        <w:tc>
          <w:tcPr>
            <w:tcW w:w="1418" w:type="dxa"/>
            <w:noWrap w:val="0"/>
            <w:tcMar>
              <w:top w:w="60" w:type="dxa"/>
              <w:left w:w="120" w:type="dxa"/>
              <w:bottom w:w="30" w:type="dxa"/>
              <w:right w:w="120" w:type="dxa"/>
            </w:tcMar>
            <w:vAlign w:val="center"/>
          </w:tcPr>
          <w:p w14:paraId="1ACEA2E2">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特色业务套餐、推广材料</w:t>
            </w:r>
          </w:p>
        </w:tc>
      </w:tr>
    </w:tbl>
    <w:p w14:paraId="14D8EDBA">
      <w:pPr>
        <w:shd w:val="clear" w:color="auto" w:fill="auto"/>
        <w:rPr>
          <w:color w:val="auto"/>
          <w:highlight w:val="none"/>
        </w:rPr>
      </w:pPr>
    </w:p>
    <w:p w14:paraId="23431CBC">
      <w:pPr>
        <w:shd w:val="clear" w:color="auto" w:fill="auto"/>
        <w:rPr>
          <w:color w:val="auto"/>
          <w:highlight w:val="none"/>
        </w:rPr>
      </w:pPr>
    </w:p>
    <w:p w14:paraId="444E21FE">
      <w:pPr>
        <w:shd w:val="clear" w:color="auto" w:fill="auto"/>
        <w:rPr>
          <w:rFonts w:hint="eastAsia" w:ascii="黑体" w:hAnsi="黑体" w:eastAsia="黑体" w:cs="黑体"/>
          <w:b w:val="0"/>
          <w:bCs/>
          <w:color w:val="auto"/>
          <w:sz w:val="28"/>
          <w:szCs w:val="28"/>
          <w:highlight w:val="none"/>
        </w:rPr>
      </w:pPr>
    </w:p>
    <w:p w14:paraId="7C9233F0">
      <w:pPr>
        <w:shd w:val="clear" w:color="auto" w:fill="auto"/>
        <w:rPr>
          <w:rFonts w:hint="eastAsia" w:ascii="黑体" w:hAnsi="黑体" w:eastAsia="黑体" w:cs="黑体"/>
          <w:b w:val="0"/>
          <w:bCs/>
          <w:color w:val="auto"/>
          <w:sz w:val="28"/>
          <w:szCs w:val="28"/>
          <w:highlight w:val="none"/>
        </w:rPr>
      </w:pPr>
    </w:p>
    <w:p w14:paraId="6E54D432">
      <w:pPr>
        <w:shd w:val="clear" w:color="auto" w:fill="auto"/>
        <w:rPr>
          <w:rFonts w:hint="eastAsia" w:ascii="黑体" w:hAnsi="黑体" w:eastAsia="黑体" w:cs="黑体"/>
          <w:b w:val="0"/>
          <w:bCs/>
          <w:color w:val="auto"/>
          <w:sz w:val="28"/>
          <w:szCs w:val="28"/>
          <w:highlight w:val="none"/>
        </w:rPr>
      </w:pPr>
    </w:p>
    <w:p w14:paraId="119F3AD8">
      <w:pPr>
        <w:shd w:val="clear" w:color="auto" w:fill="auto"/>
        <w:rPr>
          <w:rFonts w:hint="eastAsia" w:ascii="黑体" w:hAnsi="黑体" w:eastAsia="黑体" w:cs="黑体"/>
          <w:b w:val="0"/>
          <w:bCs/>
          <w:color w:val="auto"/>
          <w:sz w:val="28"/>
          <w:szCs w:val="28"/>
          <w:highlight w:val="none"/>
        </w:rPr>
      </w:pPr>
    </w:p>
    <w:p w14:paraId="2CBB00A6">
      <w:pPr>
        <w:shd w:val="clear" w:color="auto" w:fil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四、用户服务与满意度考核（1</w:t>
      </w:r>
      <w:r>
        <w:rPr>
          <w:rFonts w:hint="eastAsia" w:ascii="黑体" w:hAnsi="黑体" w:eastAsia="黑体" w:cs="黑体"/>
          <w:b w:val="0"/>
          <w:bCs/>
          <w:color w:val="auto"/>
          <w:sz w:val="28"/>
          <w:szCs w:val="28"/>
          <w:highlight w:val="none"/>
          <w:lang w:val="en-US" w:eastAsia="zh-CN"/>
        </w:rPr>
        <w:t>0</w:t>
      </w:r>
      <w:r>
        <w:rPr>
          <w:rFonts w:hint="eastAsia" w:ascii="黑体" w:hAnsi="黑体" w:eastAsia="黑体" w:cs="黑体"/>
          <w:b w:val="0"/>
          <w:bCs/>
          <w:color w:val="auto"/>
          <w:sz w:val="28"/>
          <w:szCs w:val="28"/>
          <w:highlight w:val="none"/>
        </w:rPr>
        <w:t>分）</w:t>
      </w:r>
    </w:p>
    <w:p w14:paraId="59F2E91C">
      <w:pPr>
        <w:shd w:val="clear" w:color="auto" w:fill="auto"/>
        <w:rPr>
          <w:rFonts w:hint="eastAsia" w:ascii="黑体" w:hAnsi="黑体" w:eastAsia="黑体" w:cs="黑体"/>
          <w:b w:val="0"/>
          <w:bCs/>
          <w:color w:val="auto"/>
          <w:sz w:val="28"/>
          <w:szCs w:val="28"/>
          <w:highlight w:val="none"/>
        </w:rPr>
      </w:pPr>
    </w:p>
    <w:tbl>
      <w:tblPr>
        <w:tblStyle w:val="42"/>
        <w:tblpPr w:leftFromText="180" w:rightFromText="180" w:vertAnchor="text" w:horzAnchor="page" w:tblpX="1500" w:tblpY="-278"/>
        <w:tblOverlap w:val="never"/>
        <w:tblW w:w="9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59"/>
        <w:gridCol w:w="723"/>
        <w:gridCol w:w="2782"/>
        <w:gridCol w:w="2768"/>
        <w:gridCol w:w="1418"/>
      </w:tblGrid>
      <w:tr w14:paraId="214D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trPr>
        <w:tc>
          <w:tcPr>
            <w:tcW w:w="1459" w:type="dxa"/>
            <w:noWrap w:val="0"/>
            <w:tcMar>
              <w:top w:w="60" w:type="dxa"/>
              <w:left w:w="120" w:type="dxa"/>
              <w:bottom w:w="30" w:type="dxa"/>
              <w:right w:w="120" w:type="dxa"/>
            </w:tcMar>
            <w:vAlign w:val="center"/>
          </w:tcPr>
          <w:p w14:paraId="324366A4">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bookmarkStart w:id="6" w:name="heading_3"/>
            <w:r>
              <w:rPr>
                <w:rFonts w:hint="eastAsia" w:ascii="黑体" w:hAnsi="黑体" w:eastAsia="黑体" w:cs="黑体"/>
                <w:b w:val="0"/>
                <w:bCs/>
                <w:color w:val="auto"/>
                <w:sz w:val="24"/>
                <w:szCs w:val="24"/>
                <w:highlight w:val="none"/>
              </w:rPr>
              <w:t>考核指标</w:t>
            </w:r>
          </w:p>
        </w:tc>
        <w:tc>
          <w:tcPr>
            <w:tcW w:w="723" w:type="dxa"/>
            <w:noWrap w:val="0"/>
            <w:tcMar>
              <w:top w:w="60" w:type="dxa"/>
              <w:left w:w="120" w:type="dxa"/>
              <w:bottom w:w="30" w:type="dxa"/>
              <w:right w:w="120" w:type="dxa"/>
            </w:tcMar>
            <w:vAlign w:val="center"/>
          </w:tcPr>
          <w:p w14:paraId="331BD40C">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分值</w:t>
            </w:r>
          </w:p>
        </w:tc>
        <w:tc>
          <w:tcPr>
            <w:tcW w:w="2782" w:type="dxa"/>
            <w:noWrap w:val="0"/>
            <w:tcMar>
              <w:top w:w="60" w:type="dxa"/>
              <w:left w:w="120" w:type="dxa"/>
              <w:bottom w:w="30" w:type="dxa"/>
              <w:right w:w="120" w:type="dxa"/>
            </w:tcMar>
            <w:vAlign w:val="center"/>
          </w:tcPr>
          <w:p w14:paraId="34298104">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量化标准</w:t>
            </w:r>
          </w:p>
        </w:tc>
        <w:tc>
          <w:tcPr>
            <w:tcW w:w="2768" w:type="dxa"/>
            <w:noWrap w:val="0"/>
            <w:tcMar>
              <w:top w:w="60" w:type="dxa"/>
              <w:left w:w="120" w:type="dxa"/>
              <w:bottom w:w="30" w:type="dxa"/>
              <w:right w:w="120" w:type="dxa"/>
            </w:tcMar>
            <w:vAlign w:val="center"/>
          </w:tcPr>
          <w:p w14:paraId="71186571">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扣分规则</w:t>
            </w:r>
          </w:p>
        </w:tc>
        <w:tc>
          <w:tcPr>
            <w:tcW w:w="1418" w:type="dxa"/>
            <w:noWrap w:val="0"/>
            <w:tcMar>
              <w:top w:w="60" w:type="dxa"/>
              <w:left w:w="120" w:type="dxa"/>
              <w:bottom w:w="30" w:type="dxa"/>
              <w:right w:w="120" w:type="dxa"/>
            </w:tcMar>
            <w:vAlign w:val="center"/>
          </w:tcPr>
          <w:p w14:paraId="15808808">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数据来源</w:t>
            </w:r>
          </w:p>
        </w:tc>
      </w:tr>
      <w:tr w14:paraId="7DDE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1459" w:type="dxa"/>
            <w:noWrap w:val="0"/>
            <w:tcMar>
              <w:top w:w="60" w:type="dxa"/>
              <w:left w:w="120" w:type="dxa"/>
              <w:bottom w:w="30" w:type="dxa"/>
              <w:right w:w="120" w:type="dxa"/>
            </w:tcMar>
            <w:vAlign w:val="center"/>
          </w:tcPr>
          <w:p w14:paraId="75983B61">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义诊与活动推广</w:t>
            </w:r>
          </w:p>
        </w:tc>
        <w:tc>
          <w:tcPr>
            <w:tcW w:w="723" w:type="dxa"/>
            <w:noWrap w:val="0"/>
            <w:tcMar>
              <w:top w:w="60" w:type="dxa"/>
              <w:left w:w="120" w:type="dxa"/>
              <w:bottom w:w="30" w:type="dxa"/>
              <w:right w:w="120" w:type="dxa"/>
            </w:tcMar>
            <w:vAlign w:val="center"/>
          </w:tcPr>
          <w:p w14:paraId="1A5E1492">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p>
        </w:tc>
        <w:tc>
          <w:tcPr>
            <w:tcW w:w="2782" w:type="dxa"/>
            <w:noWrap w:val="0"/>
            <w:tcMar>
              <w:top w:w="60" w:type="dxa"/>
              <w:left w:w="120" w:type="dxa"/>
              <w:bottom w:w="30" w:type="dxa"/>
              <w:right w:w="120" w:type="dxa"/>
            </w:tcMar>
            <w:vAlign w:val="center"/>
          </w:tcPr>
          <w:p w14:paraId="16FCAD17">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配合医院义诊活动开展推广，提前对接日程、准备物料、现场宣传，季度配合义诊≥2次</w:t>
            </w:r>
          </w:p>
        </w:tc>
        <w:tc>
          <w:tcPr>
            <w:tcW w:w="2768" w:type="dxa"/>
            <w:noWrap w:val="0"/>
            <w:tcMar>
              <w:top w:w="60" w:type="dxa"/>
              <w:left w:w="120" w:type="dxa"/>
              <w:bottom w:w="30" w:type="dxa"/>
              <w:right w:w="120" w:type="dxa"/>
            </w:tcMar>
            <w:vAlign w:val="center"/>
          </w:tcPr>
          <w:p w14:paraId="73F9B8E2">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每少1次扣2分，推广不到位扣1分/次</w:t>
            </w:r>
          </w:p>
        </w:tc>
        <w:tc>
          <w:tcPr>
            <w:tcW w:w="1418" w:type="dxa"/>
            <w:noWrap w:val="0"/>
            <w:tcMar>
              <w:top w:w="60" w:type="dxa"/>
              <w:left w:w="120" w:type="dxa"/>
              <w:bottom w:w="30" w:type="dxa"/>
              <w:right w:w="120" w:type="dxa"/>
            </w:tcMar>
            <w:vAlign w:val="center"/>
          </w:tcPr>
          <w:p w14:paraId="7E35315F">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义诊推广记录、现场照片</w:t>
            </w:r>
          </w:p>
        </w:tc>
      </w:tr>
      <w:tr w14:paraId="62BE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1459" w:type="dxa"/>
            <w:noWrap w:val="0"/>
            <w:tcMar>
              <w:top w:w="60" w:type="dxa"/>
              <w:left w:w="120" w:type="dxa"/>
              <w:bottom w:w="30" w:type="dxa"/>
              <w:right w:w="120" w:type="dxa"/>
            </w:tcMar>
            <w:vAlign w:val="center"/>
          </w:tcPr>
          <w:p w14:paraId="596D9B1A">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医院公众号</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新媒体运营</w:t>
            </w:r>
          </w:p>
        </w:tc>
        <w:tc>
          <w:tcPr>
            <w:tcW w:w="723" w:type="dxa"/>
            <w:noWrap w:val="0"/>
            <w:tcMar>
              <w:top w:w="60" w:type="dxa"/>
              <w:left w:w="120" w:type="dxa"/>
              <w:bottom w:w="30" w:type="dxa"/>
              <w:right w:w="120" w:type="dxa"/>
            </w:tcMar>
            <w:vAlign w:val="center"/>
          </w:tcPr>
          <w:p w14:paraId="3463ADEF">
            <w:pPr>
              <w:shd w:val="clear" w:color="auto" w:fill="auto"/>
              <w:spacing w:before="120" w:after="120" w:line="288" w:lineRule="auto"/>
              <w:ind w:left="0" w:leftChars="0"/>
              <w:jc w:val="center"/>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2782" w:type="dxa"/>
            <w:noWrap w:val="0"/>
            <w:tcMar>
              <w:top w:w="60" w:type="dxa"/>
              <w:left w:w="120" w:type="dxa"/>
              <w:bottom w:w="30" w:type="dxa"/>
              <w:right w:w="120" w:type="dxa"/>
            </w:tcMar>
            <w:vAlign w:val="center"/>
          </w:tcPr>
          <w:p w14:paraId="0F5659F3">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完成平台入口上线医院公众号菜单栏，协助发布宣传推文，季度推文≥</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篇，入口正常使用</w:t>
            </w:r>
          </w:p>
        </w:tc>
        <w:tc>
          <w:tcPr>
            <w:tcW w:w="2768" w:type="dxa"/>
            <w:noWrap w:val="0"/>
            <w:tcMar>
              <w:top w:w="60" w:type="dxa"/>
              <w:left w:w="120" w:type="dxa"/>
              <w:bottom w:w="30" w:type="dxa"/>
              <w:right w:w="120" w:type="dxa"/>
            </w:tcMar>
            <w:vAlign w:val="center"/>
          </w:tcPr>
          <w:p w14:paraId="715F45BC">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入口未上线扣</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分，推文每少1篇扣2分</w:t>
            </w:r>
          </w:p>
        </w:tc>
        <w:tc>
          <w:tcPr>
            <w:tcW w:w="1418" w:type="dxa"/>
            <w:noWrap w:val="0"/>
            <w:tcMar>
              <w:top w:w="60" w:type="dxa"/>
              <w:left w:w="120" w:type="dxa"/>
              <w:bottom w:w="30" w:type="dxa"/>
              <w:right w:w="120" w:type="dxa"/>
            </w:tcMar>
            <w:vAlign w:val="center"/>
          </w:tcPr>
          <w:p w14:paraId="3A301756">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公众号后台截图、推文记录</w:t>
            </w:r>
          </w:p>
        </w:tc>
      </w:tr>
      <w:bookmarkEnd w:id="6"/>
    </w:tbl>
    <w:p w14:paraId="4C7EFBCE">
      <w:pPr>
        <w:shd w:val="clear" w:color="auto" w:fill="auto"/>
        <w:spacing w:before="380" w:after="140" w:line="288" w:lineRule="auto"/>
        <w:jc w:val="left"/>
        <w:outlineLvl w:val="0"/>
        <w:rPr>
          <w:rFonts w:hint="eastAsia" w:ascii="黑体" w:hAnsi="黑体" w:eastAsia="黑体" w:cs="黑体"/>
          <w:b w:val="0"/>
          <w:bCs/>
          <w:color w:val="auto"/>
          <w:sz w:val="28"/>
          <w:szCs w:val="28"/>
          <w:highlight w:val="none"/>
        </w:rPr>
      </w:pPr>
      <w:bookmarkStart w:id="7" w:name="heading_4"/>
      <w:r>
        <w:rPr>
          <w:rFonts w:hint="eastAsia" w:ascii="黑体" w:hAnsi="黑体" w:eastAsia="黑体" w:cs="黑体"/>
          <w:b w:val="0"/>
          <w:bCs/>
          <w:color w:val="auto"/>
          <w:sz w:val="28"/>
          <w:szCs w:val="28"/>
          <w:highlight w:val="none"/>
        </w:rPr>
        <w:t>五、</w:t>
      </w:r>
      <w:r>
        <w:rPr>
          <w:rFonts w:hint="eastAsia" w:ascii="黑体" w:hAnsi="黑体" w:eastAsia="黑体" w:cs="黑体"/>
          <w:b w:val="0"/>
          <w:bCs/>
          <w:color w:val="auto"/>
          <w:sz w:val="28"/>
          <w:szCs w:val="28"/>
          <w:highlight w:val="none"/>
          <w:lang w:val="en-US" w:eastAsia="zh-CN"/>
        </w:rPr>
        <w:t>数据报送与</w:t>
      </w:r>
      <w:r>
        <w:rPr>
          <w:rFonts w:hint="eastAsia" w:ascii="黑体" w:hAnsi="黑体" w:eastAsia="黑体" w:cs="黑体"/>
          <w:b w:val="0"/>
          <w:bCs/>
          <w:color w:val="auto"/>
          <w:sz w:val="28"/>
          <w:szCs w:val="28"/>
          <w:highlight w:val="none"/>
        </w:rPr>
        <w:t>合规运营考核（1</w:t>
      </w:r>
      <w:r>
        <w:rPr>
          <w:rFonts w:hint="eastAsia" w:ascii="黑体" w:hAnsi="黑体" w:eastAsia="黑体" w:cs="黑体"/>
          <w:b w:val="0"/>
          <w:bCs/>
          <w:color w:val="auto"/>
          <w:sz w:val="28"/>
          <w:szCs w:val="28"/>
          <w:highlight w:val="none"/>
          <w:lang w:val="en-US" w:eastAsia="zh-CN"/>
        </w:rPr>
        <w:t>3</w:t>
      </w:r>
      <w:r>
        <w:rPr>
          <w:rFonts w:hint="eastAsia" w:ascii="黑体" w:hAnsi="黑体" w:eastAsia="黑体" w:cs="黑体"/>
          <w:b w:val="0"/>
          <w:bCs/>
          <w:color w:val="auto"/>
          <w:sz w:val="28"/>
          <w:szCs w:val="28"/>
          <w:highlight w:val="none"/>
        </w:rPr>
        <w:t>分）</w:t>
      </w:r>
      <w:bookmarkEnd w:id="7"/>
    </w:p>
    <w:tbl>
      <w:tblPr>
        <w:tblStyle w:val="42"/>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302"/>
        <w:gridCol w:w="723"/>
        <w:gridCol w:w="2782"/>
        <w:gridCol w:w="2768"/>
        <w:gridCol w:w="1586"/>
      </w:tblGrid>
      <w:tr w14:paraId="011B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1302" w:type="dxa"/>
            <w:noWrap w:val="0"/>
            <w:tcMar>
              <w:top w:w="60" w:type="dxa"/>
              <w:left w:w="120" w:type="dxa"/>
              <w:bottom w:w="30" w:type="dxa"/>
              <w:right w:w="120" w:type="dxa"/>
            </w:tcMar>
            <w:vAlign w:val="center"/>
          </w:tcPr>
          <w:p w14:paraId="0CD91662">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考核指标</w:t>
            </w:r>
          </w:p>
        </w:tc>
        <w:tc>
          <w:tcPr>
            <w:tcW w:w="723" w:type="dxa"/>
            <w:noWrap w:val="0"/>
            <w:tcMar>
              <w:top w:w="60" w:type="dxa"/>
              <w:left w:w="120" w:type="dxa"/>
              <w:bottom w:w="30" w:type="dxa"/>
              <w:right w:w="120" w:type="dxa"/>
            </w:tcMar>
            <w:vAlign w:val="center"/>
          </w:tcPr>
          <w:p w14:paraId="0E26B324">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分值</w:t>
            </w:r>
          </w:p>
        </w:tc>
        <w:tc>
          <w:tcPr>
            <w:tcW w:w="2782" w:type="dxa"/>
            <w:noWrap w:val="0"/>
            <w:tcMar>
              <w:top w:w="60" w:type="dxa"/>
              <w:left w:w="120" w:type="dxa"/>
              <w:bottom w:w="30" w:type="dxa"/>
              <w:right w:w="120" w:type="dxa"/>
            </w:tcMar>
            <w:vAlign w:val="center"/>
          </w:tcPr>
          <w:p w14:paraId="15BC1131">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量化标准</w:t>
            </w:r>
          </w:p>
        </w:tc>
        <w:tc>
          <w:tcPr>
            <w:tcW w:w="2768" w:type="dxa"/>
            <w:noWrap w:val="0"/>
            <w:tcMar>
              <w:top w:w="60" w:type="dxa"/>
              <w:left w:w="120" w:type="dxa"/>
              <w:bottom w:w="30" w:type="dxa"/>
              <w:right w:w="120" w:type="dxa"/>
            </w:tcMar>
            <w:vAlign w:val="center"/>
          </w:tcPr>
          <w:p w14:paraId="27926C63">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扣分规则</w:t>
            </w:r>
          </w:p>
        </w:tc>
        <w:tc>
          <w:tcPr>
            <w:tcW w:w="1586" w:type="dxa"/>
            <w:noWrap w:val="0"/>
            <w:tcMar>
              <w:top w:w="60" w:type="dxa"/>
              <w:left w:w="120" w:type="dxa"/>
              <w:bottom w:w="30" w:type="dxa"/>
              <w:right w:w="120" w:type="dxa"/>
            </w:tcMar>
            <w:vAlign w:val="center"/>
          </w:tcPr>
          <w:p w14:paraId="536A56A7">
            <w:pPr>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数据来源</w:t>
            </w:r>
          </w:p>
        </w:tc>
      </w:tr>
      <w:tr w14:paraId="0BD2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302" w:type="dxa"/>
            <w:noWrap w:val="0"/>
            <w:tcMar>
              <w:top w:w="60" w:type="dxa"/>
              <w:left w:w="120" w:type="dxa"/>
              <w:bottom w:w="30" w:type="dxa"/>
              <w:right w:w="120" w:type="dxa"/>
            </w:tcMar>
            <w:vAlign w:val="center"/>
          </w:tcPr>
          <w:p w14:paraId="2D99CACF">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运营数据报送</w:t>
            </w:r>
          </w:p>
        </w:tc>
        <w:tc>
          <w:tcPr>
            <w:tcW w:w="723" w:type="dxa"/>
            <w:noWrap w:val="0"/>
            <w:tcMar>
              <w:top w:w="60" w:type="dxa"/>
              <w:left w:w="120" w:type="dxa"/>
              <w:bottom w:w="30" w:type="dxa"/>
              <w:right w:w="120" w:type="dxa"/>
            </w:tcMar>
            <w:vAlign w:val="center"/>
          </w:tcPr>
          <w:p w14:paraId="3321E4E8">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6</w:t>
            </w:r>
          </w:p>
        </w:tc>
        <w:tc>
          <w:tcPr>
            <w:tcW w:w="2782" w:type="dxa"/>
            <w:noWrap w:val="0"/>
            <w:tcMar>
              <w:top w:w="60" w:type="dxa"/>
              <w:left w:w="120" w:type="dxa"/>
              <w:bottom w:w="30" w:type="dxa"/>
              <w:right w:w="120" w:type="dxa"/>
            </w:tcMar>
            <w:vAlign w:val="center"/>
          </w:tcPr>
          <w:p w14:paraId="6389F250">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次月10日前向甲方提交上月运营数据报告，数据真实完整，无虚报、漏报、迟报</w:t>
            </w:r>
          </w:p>
        </w:tc>
        <w:tc>
          <w:tcPr>
            <w:tcW w:w="2768" w:type="dxa"/>
            <w:noWrap w:val="0"/>
            <w:tcMar>
              <w:top w:w="60" w:type="dxa"/>
              <w:left w:w="120" w:type="dxa"/>
              <w:bottom w:w="30" w:type="dxa"/>
              <w:right w:w="120" w:type="dxa"/>
            </w:tcMar>
            <w:vAlign w:val="center"/>
          </w:tcPr>
          <w:p w14:paraId="0EE3FAF0">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迟报扣2分/次，虚报漏报扣3分/次，数据不完整扣1分/项</w:t>
            </w:r>
          </w:p>
        </w:tc>
        <w:tc>
          <w:tcPr>
            <w:tcW w:w="1586" w:type="dxa"/>
            <w:noWrap w:val="0"/>
            <w:tcMar>
              <w:top w:w="60" w:type="dxa"/>
              <w:left w:w="120" w:type="dxa"/>
              <w:bottom w:w="30" w:type="dxa"/>
              <w:right w:w="120" w:type="dxa"/>
            </w:tcMar>
            <w:vAlign w:val="center"/>
          </w:tcPr>
          <w:p w14:paraId="2B37B3C8">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运营报告提交记录、数据核对</w:t>
            </w:r>
          </w:p>
        </w:tc>
      </w:tr>
      <w:tr w14:paraId="539B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23" w:hRule="atLeast"/>
          <w:jc w:val="center"/>
        </w:trPr>
        <w:tc>
          <w:tcPr>
            <w:tcW w:w="1302" w:type="dxa"/>
            <w:noWrap w:val="0"/>
            <w:tcMar>
              <w:top w:w="60" w:type="dxa"/>
              <w:left w:w="120" w:type="dxa"/>
              <w:bottom w:w="30" w:type="dxa"/>
              <w:right w:w="120" w:type="dxa"/>
            </w:tcMar>
            <w:vAlign w:val="center"/>
          </w:tcPr>
          <w:p w14:paraId="537B087A">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合规运营管理</w:t>
            </w:r>
          </w:p>
        </w:tc>
        <w:tc>
          <w:tcPr>
            <w:tcW w:w="723" w:type="dxa"/>
            <w:noWrap w:val="0"/>
            <w:tcMar>
              <w:top w:w="60" w:type="dxa"/>
              <w:left w:w="120" w:type="dxa"/>
              <w:bottom w:w="30" w:type="dxa"/>
              <w:right w:w="120" w:type="dxa"/>
            </w:tcMar>
            <w:vAlign w:val="center"/>
          </w:tcPr>
          <w:p w14:paraId="0FB7CBDD">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4</w:t>
            </w:r>
          </w:p>
        </w:tc>
        <w:tc>
          <w:tcPr>
            <w:tcW w:w="2782" w:type="dxa"/>
            <w:noWrap w:val="0"/>
            <w:tcMar>
              <w:top w:w="60" w:type="dxa"/>
              <w:left w:w="120" w:type="dxa"/>
              <w:bottom w:w="30" w:type="dxa"/>
              <w:right w:w="120" w:type="dxa"/>
            </w:tcMar>
            <w:vAlign w:val="center"/>
          </w:tcPr>
          <w:p w14:paraId="068872B2">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符合卫健、市场监管部门要求，无违规诊疗、无数据泄露、无超范围运营，建立异常监测机制</w:t>
            </w:r>
          </w:p>
        </w:tc>
        <w:tc>
          <w:tcPr>
            <w:tcW w:w="2768" w:type="dxa"/>
            <w:noWrap w:val="0"/>
            <w:tcMar>
              <w:top w:w="60" w:type="dxa"/>
              <w:left w:w="120" w:type="dxa"/>
              <w:bottom w:w="30" w:type="dxa"/>
              <w:right w:w="120" w:type="dxa"/>
            </w:tcMar>
            <w:vAlign w:val="center"/>
          </w:tcPr>
          <w:p w14:paraId="74C4AC34">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轻微违规扣2分/次，出现数据泄露扣4分并追责</w:t>
            </w:r>
          </w:p>
        </w:tc>
        <w:tc>
          <w:tcPr>
            <w:tcW w:w="1586" w:type="dxa"/>
            <w:noWrap w:val="0"/>
            <w:tcMar>
              <w:top w:w="60" w:type="dxa"/>
              <w:left w:w="120" w:type="dxa"/>
              <w:bottom w:w="30" w:type="dxa"/>
              <w:right w:w="120" w:type="dxa"/>
            </w:tcMar>
            <w:vAlign w:val="center"/>
          </w:tcPr>
          <w:p w14:paraId="4D59C567">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合规核查台账、监管记录</w:t>
            </w:r>
          </w:p>
        </w:tc>
      </w:tr>
      <w:tr w14:paraId="4346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302" w:type="dxa"/>
            <w:noWrap w:val="0"/>
            <w:tcMar>
              <w:top w:w="60" w:type="dxa"/>
              <w:left w:w="120" w:type="dxa"/>
              <w:bottom w:w="30" w:type="dxa"/>
              <w:right w:w="120" w:type="dxa"/>
            </w:tcMar>
            <w:vAlign w:val="center"/>
          </w:tcPr>
          <w:p w14:paraId="19A7EF8A">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技术培训协助</w:t>
            </w:r>
          </w:p>
        </w:tc>
        <w:tc>
          <w:tcPr>
            <w:tcW w:w="723" w:type="dxa"/>
            <w:noWrap w:val="0"/>
            <w:tcMar>
              <w:top w:w="60" w:type="dxa"/>
              <w:left w:w="120" w:type="dxa"/>
              <w:bottom w:w="30" w:type="dxa"/>
              <w:right w:w="120" w:type="dxa"/>
            </w:tcMar>
            <w:vAlign w:val="center"/>
          </w:tcPr>
          <w:p w14:paraId="73CA5A8D">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3</w:t>
            </w:r>
          </w:p>
        </w:tc>
        <w:tc>
          <w:tcPr>
            <w:tcW w:w="2782" w:type="dxa"/>
            <w:noWrap w:val="0"/>
            <w:tcMar>
              <w:top w:w="60" w:type="dxa"/>
              <w:left w:w="120" w:type="dxa"/>
              <w:bottom w:w="30" w:type="dxa"/>
              <w:right w:w="120" w:type="dxa"/>
            </w:tcMar>
            <w:vAlign w:val="center"/>
          </w:tcPr>
          <w:p w14:paraId="65978C97">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配合完成机构IT对接、配置、培训及问题咨询，季度开展培训≥1次，培训到位率100%</w:t>
            </w:r>
          </w:p>
        </w:tc>
        <w:tc>
          <w:tcPr>
            <w:tcW w:w="2768" w:type="dxa"/>
            <w:noWrap w:val="0"/>
            <w:tcMar>
              <w:top w:w="60" w:type="dxa"/>
              <w:left w:w="120" w:type="dxa"/>
              <w:bottom w:w="30" w:type="dxa"/>
              <w:right w:w="120" w:type="dxa"/>
            </w:tcMar>
            <w:vAlign w:val="center"/>
          </w:tcPr>
          <w:p w14:paraId="4C9AB157">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未开展培训扣3分，培训不到位扣1分/次</w:t>
            </w:r>
          </w:p>
        </w:tc>
        <w:tc>
          <w:tcPr>
            <w:tcW w:w="1586" w:type="dxa"/>
            <w:noWrap w:val="0"/>
            <w:tcMar>
              <w:top w:w="60" w:type="dxa"/>
              <w:left w:w="120" w:type="dxa"/>
              <w:bottom w:w="30" w:type="dxa"/>
              <w:right w:w="120" w:type="dxa"/>
            </w:tcMar>
            <w:vAlign w:val="center"/>
          </w:tcPr>
          <w:p w14:paraId="0DC21320">
            <w:pPr>
              <w:shd w:val="clear" w:color="auto" w:fill="auto"/>
              <w:spacing w:before="120" w:after="120" w:line="288" w:lineRule="auto"/>
              <w:ind w:left="0" w:leftChars="0"/>
              <w:jc w:val="center"/>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color w:val="auto"/>
                <w:sz w:val="24"/>
                <w:szCs w:val="24"/>
                <w:highlight w:val="none"/>
              </w:rPr>
              <w:t>培训记录、对接台账</w:t>
            </w:r>
          </w:p>
        </w:tc>
      </w:tr>
    </w:tbl>
    <w:p w14:paraId="1A925A02">
      <w:pPr>
        <w:shd w:val="clear" w:color="auto" w:fill="auto"/>
        <w:spacing w:before="380" w:after="140" w:line="288" w:lineRule="auto"/>
        <w:jc w:val="left"/>
        <w:outlineLvl w:val="0"/>
        <w:rPr>
          <w:rFonts w:hint="eastAsia" w:ascii="黑体" w:hAnsi="黑体" w:eastAsia="黑体" w:cs="黑体"/>
          <w:b w:val="0"/>
          <w:bCs/>
          <w:color w:val="auto"/>
          <w:sz w:val="28"/>
          <w:szCs w:val="28"/>
          <w:highlight w:val="none"/>
        </w:rPr>
      </w:pPr>
      <w:bookmarkStart w:id="8" w:name="heading_5"/>
      <w:r>
        <w:rPr>
          <w:rFonts w:hint="eastAsia" w:ascii="黑体" w:hAnsi="黑体" w:eastAsia="黑体" w:cs="黑体"/>
          <w:b w:val="0"/>
          <w:bCs/>
          <w:color w:val="auto"/>
          <w:sz w:val="28"/>
          <w:szCs w:val="28"/>
          <w:highlight w:val="none"/>
        </w:rPr>
        <w:t>六、</w:t>
      </w:r>
      <w:r>
        <w:rPr>
          <w:rFonts w:hint="eastAsia" w:ascii="黑体" w:hAnsi="黑体" w:eastAsia="黑体" w:cs="黑体"/>
          <w:b w:val="0"/>
          <w:bCs/>
          <w:color w:val="auto"/>
          <w:sz w:val="28"/>
          <w:szCs w:val="28"/>
          <w:highlight w:val="none"/>
          <w:lang w:val="en-US" w:eastAsia="zh-CN"/>
        </w:rPr>
        <w:t>用户与平台活跃度</w:t>
      </w:r>
      <w:r>
        <w:rPr>
          <w:rFonts w:hint="eastAsia" w:ascii="黑体" w:hAnsi="黑体" w:eastAsia="黑体" w:cs="黑体"/>
          <w:b w:val="0"/>
          <w:bCs/>
          <w:color w:val="auto"/>
          <w:sz w:val="28"/>
          <w:szCs w:val="28"/>
          <w:highlight w:val="none"/>
        </w:rPr>
        <w:t>考核（</w:t>
      </w:r>
      <w:r>
        <w:rPr>
          <w:rFonts w:hint="eastAsia" w:ascii="黑体" w:hAnsi="黑体" w:eastAsia="黑体" w:cs="黑体"/>
          <w:b w:val="0"/>
          <w:bCs/>
          <w:color w:val="auto"/>
          <w:sz w:val="28"/>
          <w:szCs w:val="28"/>
          <w:highlight w:val="none"/>
          <w:lang w:val="en-US" w:eastAsia="zh-CN"/>
        </w:rPr>
        <w:t>10</w:t>
      </w:r>
      <w:r>
        <w:rPr>
          <w:rFonts w:hint="eastAsia" w:ascii="黑体" w:hAnsi="黑体" w:eastAsia="黑体" w:cs="黑体"/>
          <w:b w:val="0"/>
          <w:bCs/>
          <w:color w:val="auto"/>
          <w:sz w:val="28"/>
          <w:szCs w:val="28"/>
          <w:highlight w:val="none"/>
        </w:rPr>
        <w:t>分）</w:t>
      </w:r>
      <w:bookmarkEnd w:id="8"/>
    </w:p>
    <w:tbl>
      <w:tblPr>
        <w:tblStyle w:val="42"/>
        <w:tblW w:w="9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76"/>
        <w:gridCol w:w="723"/>
        <w:gridCol w:w="2834"/>
        <w:gridCol w:w="2688"/>
        <w:gridCol w:w="1610"/>
      </w:tblGrid>
      <w:tr w14:paraId="729F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1276" w:type="dxa"/>
            <w:noWrap w:val="0"/>
            <w:tcMar>
              <w:top w:w="60" w:type="dxa"/>
              <w:left w:w="120" w:type="dxa"/>
              <w:bottom w:w="30" w:type="dxa"/>
              <w:right w:w="120" w:type="dxa"/>
            </w:tcMar>
            <w:vAlign w:val="center"/>
          </w:tcPr>
          <w:p w14:paraId="30EBBDCD">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考核指标</w:t>
            </w:r>
          </w:p>
        </w:tc>
        <w:tc>
          <w:tcPr>
            <w:tcW w:w="723" w:type="dxa"/>
            <w:noWrap w:val="0"/>
            <w:tcMar>
              <w:top w:w="60" w:type="dxa"/>
              <w:left w:w="120" w:type="dxa"/>
              <w:bottom w:w="30" w:type="dxa"/>
              <w:right w:w="120" w:type="dxa"/>
            </w:tcMar>
            <w:vAlign w:val="center"/>
          </w:tcPr>
          <w:p w14:paraId="7CBE23A9">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分值</w:t>
            </w:r>
          </w:p>
        </w:tc>
        <w:tc>
          <w:tcPr>
            <w:tcW w:w="2834" w:type="dxa"/>
            <w:noWrap w:val="0"/>
            <w:tcMar>
              <w:top w:w="60" w:type="dxa"/>
              <w:left w:w="120" w:type="dxa"/>
              <w:bottom w:w="30" w:type="dxa"/>
              <w:right w:w="120" w:type="dxa"/>
            </w:tcMar>
            <w:vAlign w:val="center"/>
          </w:tcPr>
          <w:p w14:paraId="2B98E2ED">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量化标准</w:t>
            </w:r>
          </w:p>
        </w:tc>
        <w:tc>
          <w:tcPr>
            <w:tcW w:w="2688" w:type="dxa"/>
            <w:noWrap w:val="0"/>
            <w:tcMar>
              <w:top w:w="60" w:type="dxa"/>
              <w:left w:w="120" w:type="dxa"/>
              <w:bottom w:w="30" w:type="dxa"/>
              <w:right w:w="120" w:type="dxa"/>
            </w:tcMar>
            <w:vAlign w:val="center"/>
          </w:tcPr>
          <w:p w14:paraId="32D770FC">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扣分规则</w:t>
            </w:r>
          </w:p>
        </w:tc>
        <w:tc>
          <w:tcPr>
            <w:tcW w:w="1610" w:type="dxa"/>
            <w:noWrap w:val="0"/>
            <w:tcMar>
              <w:top w:w="60" w:type="dxa"/>
              <w:left w:w="120" w:type="dxa"/>
              <w:bottom w:w="30" w:type="dxa"/>
              <w:right w:w="120" w:type="dxa"/>
            </w:tcMar>
            <w:vAlign w:val="center"/>
          </w:tcPr>
          <w:p w14:paraId="10A64C69">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数据来源</w:t>
            </w:r>
          </w:p>
        </w:tc>
      </w:tr>
      <w:tr w14:paraId="0B61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76" w:type="dxa"/>
            <w:noWrap w:val="0"/>
            <w:tcMar>
              <w:top w:w="60" w:type="dxa"/>
              <w:left w:w="120" w:type="dxa"/>
              <w:bottom w:w="30" w:type="dxa"/>
              <w:right w:w="120" w:type="dxa"/>
            </w:tcMar>
            <w:vAlign w:val="center"/>
          </w:tcPr>
          <w:p w14:paraId="2817811C">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平台活跃度</w:t>
            </w:r>
          </w:p>
        </w:tc>
        <w:tc>
          <w:tcPr>
            <w:tcW w:w="723" w:type="dxa"/>
            <w:noWrap w:val="0"/>
            <w:tcMar>
              <w:top w:w="60" w:type="dxa"/>
              <w:left w:w="120" w:type="dxa"/>
              <w:bottom w:w="30" w:type="dxa"/>
              <w:right w:w="120" w:type="dxa"/>
            </w:tcMar>
            <w:vAlign w:val="center"/>
          </w:tcPr>
          <w:p w14:paraId="7590EC6E">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2834" w:type="dxa"/>
            <w:noWrap w:val="0"/>
            <w:tcMar>
              <w:top w:w="60" w:type="dxa"/>
              <w:left w:w="120" w:type="dxa"/>
              <w:bottom w:w="30" w:type="dxa"/>
              <w:right w:w="120" w:type="dxa"/>
            </w:tcMar>
            <w:vAlign w:val="center"/>
          </w:tcPr>
          <w:p w14:paraId="21E92E0B">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完成季度注册用户数、月活跃用户数目标，活跃度达标率≥90%，用户投诉率≤0.5%</w:t>
            </w:r>
          </w:p>
        </w:tc>
        <w:tc>
          <w:tcPr>
            <w:tcW w:w="2688" w:type="dxa"/>
            <w:noWrap w:val="0"/>
            <w:tcMar>
              <w:top w:w="60" w:type="dxa"/>
              <w:left w:w="120" w:type="dxa"/>
              <w:bottom w:w="30" w:type="dxa"/>
              <w:right w:w="120" w:type="dxa"/>
            </w:tcMar>
            <w:vAlign w:val="center"/>
          </w:tcPr>
          <w:p w14:paraId="18C02882">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达标率每低10%扣1分，投诉率超标的扣2分</w:t>
            </w:r>
          </w:p>
        </w:tc>
        <w:tc>
          <w:tcPr>
            <w:tcW w:w="1610" w:type="dxa"/>
            <w:noWrap w:val="0"/>
            <w:tcMar>
              <w:top w:w="60" w:type="dxa"/>
              <w:left w:w="120" w:type="dxa"/>
              <w:bottom w:w="30" w:type="dxa"/>
              <w:right w:w="120" w:type="dxa"/>
            </w:tcMar>
            <w:vAlign w:val="center"/>
          </w:tcPr>
          <w:p w14:paraId="688AA7A2">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平台用户后台、投诉记录</w:t>
            </w:r>
          </w:p>
        </w:tc>
      </w:tr>
      <w:tr w14:paraId="0096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76" w:type="dxa"/>
            <w:noWrap w:val="0"/>
            <w:tcMar>
              <w:top w:w="60" w:type="dxa"/>
              <w:left w:w="120" w:type="dxa"/>
              <w:bottom w:w="30" w:type="dxa"/>
              <w:right w:w="120" w:type="dxa"/>
            </w:tcMar>
            <w:vAlign w:val="center"/>
          </w:tcPr>
          <w:p w14:paraId="0470EAA3">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用户满意度</w:t>
            </w:r>
          </w:p>
        </w:tc>
        <w:tc>
          <w:tcPr>
            <w:tcW w:w="723" w:type="dxa"/>
            <w:noWrap w:val="0"/>
            <w:tcMar>
              <w:top w:w="60" w:type="dxa"/>
              <w:left w:w="120" w:type="dxa"/>
              <w:bottom w:w="30" w:type="dxa"/>
              <w:right w:w="120" w:type="dxa"/>
            </w:tcMar>
            <w:vAlign w:val="center"/>
          </w:tcPr>
          <w:p w14:paraId="7EDC7068">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2834" w:type="dxa"/>
            <w:noWrap w:val="0"/>
            <w:tcMar>
              <w:top w:w="60" w:type="dxa"/>
              <w:left w:w="120" w:type="dxa"/>
              <w:bottom w:w="30" w:type="dxa"/>
              <w:right w:w="120" w:type="dxa"/>
            </w:tcMar>
            <w:vAlign w:val="center"/>
          </w:tcPr>
          <w:p w14:paraId="295E9748">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平台服务用户满意度≥85%（匹配合同要求），投诉2小时内响应、24小时内办结</w:t>
            </w:r>
          </w:p>
        </w:tc>
        <w:tc>
          <w:tcPr>
            <w:tcW w:w="2688" w:type="dxa"/>
            <w:noWrap w:val="0"/>
            <w:tcMar>
              <w:top w:w="60" w:type="dxa"/>
              <w:left w:w="120" w:type="dxa"/>
              <w:bottom w:w="30" w:type="dxa"/>
              <w:right w:w="120" w:type="dxa"/>
            </w:tcMar>
            <w:vAlign w:val="center"/>
          </w:tcPr>
          <w:p w14:paraId="680D63D8">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满意度每低1%扣0.5分，投诉处置超时扣1分/次</w:t>
            </w:r>
          </w:p>
        </w:tc>
        <w:tc>
          <w:tcPr>
            <w:tcW w:w="1610" w:type="dxa"/>
            <w:noWrap w:val="0"/>
            <w:tcMar>
              <w:top w:w="60" w:type="dxa"/>
              <w:left w:w="120" w:type="dxa"/>
              <w:bottom w:w="30" w:type="dxa"/>
              <w:right w:w="120" w:type="dxa"/>
            </w:tcMar>
            <w:vAlign w:val="center"/>
          </w:tcPr>
          <w:p w14:paraId="0599352B">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用户满意度问卷、投诉处置台账</w:t>
            </w:r>
          </w:p>
        </w:tc>
      </w:tr>
    </w:tbl>
    <w:p w14:paraId="33DC7B6D">
      <w:pPr>
        <w:shd w:val="clear" w:color="auto" w:fill="auto"/>
        <w:spacing w:before="380" w:after="140" w:line="288" w:lineRule="auto"/>
        <w:jc w:val="left"/>
        <w:outlineLvl w:val="0"/>
        <w:rPr>
          <w:rFonts w:hint="eastAsia" w:ascii="黑体" w:hAnsi="黑体" w:eastAsia="黑体" w:cs="黑体"/>
          <w:b w:val="0"/>
          <w:bCs/>
          <w:color w:val="auto"/>
          <w:sz w:val="28"/>
          <w:szCs w:val="28"/>
          <w:highlight w:val="none"/>
          <w:lang w:val="en-US" w:eastAsia="zh-CN"/>
        </w:rPr>
      </w:pPr>
    </w:p>
    <w:p w14:paraId="67DB3DF8">
      <w:pPr>
        <w:shd w:val="clear" w:color="auto" w:fill="auto"/>
        <w:spacing w:before="380" w:after="140" w:line="288" w:lineRule="auto"/>
        <w:jc w:val="left"/>
        <w:outlineLvl w:val="0"/>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lang w:val="en-US" w:eastAsia="zh-CN"/>
        </w:rPr>
        <w:t>七</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val="en-US" w:eastAsia="zh-CN"/>
        </w:rPr>
        <w:t>风险防控与履约</w:t>
      </w:r>
      <w:r>
        <w:rPr>
          <w:rFonts w:hint="eastAsia" w:ascii="黑体" w:hAnsi="黑体" w:eastAsia="黑体" w:cs="黑体"/>
          <w:b w:val="0"/>
          <w:bCs/>
          <w:color w:val="auto"/>
          <w:sz w:val="28"/>
          <w:szCs w:val="28"/>
          <w:highlight w:val="none"/>
        </w:rPr>
        <w:t>考核（</w:t>
      </w:r>
      <w:r>
        <w:rPr>
          <w:rFonts w:hint="eastAsia" w:ascii="黑体" w:hAnsi="黑体" w:eastAsia="黑体" w:cs="黑体"/>
          <w:b w:val="0"/>
          <w:bCs/>
          <w:color w:val="auto"/>
          <w:sz w:val="28"/>
          <w:szCs w:val="28"/>
          <w:highlight w:val="none"/>
          <w:lang w:val="en-US" w:eastAsia="zh-CN"/>
        </w:rPr>
        <w:t>15</w:t>
      </w:r>
      <w:r>
        <w:rPr>
          <w:rFonts w:hint="eastAsia" w:ascii="黑体" w:hAnsi="黑体" w:eastAsia="黑体" w:cs="黑体"/>
          <w:b w:val="0"/>
          <w:bCs/>
          <w:color w:val="auto"/>
          <w:sz w:val="28"/>
          <w:szCs w:val="28"/>
          <w:highlight w:val="none"/>
        </w:rPr>
        <w:t>分）</w:t>
      </w:r>
    </w:p>
    <w:tbl>
      <w:tblPr>
        <w:tblStyle w:val="42"/>
        <w:tblW w:w="9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76"/>
        <w:gridCol w:w="723"/>
        <w:gridCol w:w="2834"/>
        <w:gridCol w:w="2688"/>
        <w:gridCol w:w="1610"/>
      </w:tblGrid>
      <w:tr w14:paraId="5AAE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1276" w:type="dxa"/>
            <w:noWrap w:val="0"/>
            <w:tcMar>
              <w:top w:w="60" w:type="dxa"/>
              <w:left w:w="120" w:type="dxa"/>
              <w:bottom w:w="30" w:type="dxa"/>
              <w:right w:w="120" w:type="dxa"/>
            </w:tcMar>
            <w:vAlign w:val="center"/>
          </w:tcPr>
          <w:p w14:paraId="6AF3E6D3">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考核指标</w:t>
            </w:r>
          </w:p>
        </w:tc>
        <w:tc>
          <w:tcPr>
            <w:tcW w:w="723" w:type="dxa"/>
            <w:noWrap w:val="0"/>
            <w:tcMar>
              <w:top w:w="60" w:type="dxa"/>
              <w:left w:w="120" w:type="dxa"/>
              <w:bottom w:w="30" w:type="dxa"/>
              <w:right w:w="120" w:type="dxa"/>
            </w:tcMar>
            <w:vAlign w:val="center"/>
          </w:tcPr>
          <w:p w14:paraId="3C8B4056">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分值</w:t>
            </w:r>
          </w:p>
        </w:tc>
        <w:tc>
          <w:tcPr>
            <w:tcW w:w="2834" w:type="dxa"/>
            <w:noWrap w:val="0"/>
            <w:tcMar>
              <w:top w:w="60" w:type="dxa"/>
              <w:left w:w="120" w:type="dxa"/>
              <w:bottom w:w="30" w:type="dxa"/>
              <w:right w:w="120" w:type="dxa"/>
            </w:tcMar>
            <w:vAlign w:val="center"/>
          </w:tcPr>
          <w:p w14:paraId="75E0AE6A">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量化标准</w:t>
            </w:r>
          </w:p>
        </w:tc>
        <w:tc>
          <w:tcPr>
            <w:tcW w:w="2688" w:type="dxa"/>
            <w:noWrap w:val="0"/>
            <w:tcMar>
              <w:top w:w="60" w:type="dxa"/>
              <w:left w:w="120" w:type="dxa"/>
              <w:bottom w:w="30" w:type="dxa"/>
              <w:right w:w="120" w:type="dxa"/>
            </w:tcMar>
            <w:vAlign w:val="center"/>
          </w:tcPr>
          <w:p w14:paraId="572E6992">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扣分规则</w:t>
            </w:r>
          </w:p>
        </w:tc>
        <w:tc>
          <w:tcPr>
            <w:tcW w:w="1610" w:type="dxa"/>
            <w:noWrap w:val="0"/>
            <w:tcMar>
              <w:top w:w="60" w:type="dxa"/>
              <w:left w:w="120" w:type="dxa"/>
              <w:bottom w:w="30" w:type="dxa"/>
              <w:right w:w="120" w:type="dxa"/>
            </w:tcMar>
            <w:vAlign w:val="center"/>
          </w:tcPr>
          <w:p w14:paraId="0C8B7258">
            <w:pPr>
              <w:keepNext/>
              <w:shd w:val="clear" w:color="auto" w:fill="auto"/>
              <w:snapToGrid w:val="0"/>
              <w:spacing w:before="120" w:after="120" w:line="240" w:lineRule="auto"/>
              <w:ind w:left="0" w:leftChars="0" w:right="0" w:rightChars="0" w:firstLine="0" w:firstLineChars="0"/>
              <w:jc w:val="center"/>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数据来源</w:t>
            </w:r>
          </w:p>
        </w:tc>
      </w:tr>
      <w:tr w14:paraId="60BE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76" w:type="dxa"/>
            <w:noWrap w:val="0"/>
            <w:tcMar>
              <w:top w:w="60" w:type="dxa"/>
              <w:left w:w="120" w:type="dxa"/>
              <w:bottom w:w="30" w:type="dxa"/>
              <w:right w:w="120" w:type="dxa"/>
            </w:tcMar>
            <w:vAlign w:val="center"/>
          </w:tcPr>
          <w:p w14:paraId="60B689E1">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风险储备金管理</w:t>
            </w:r>
          </w:p>
        </w:tc>
        <w:tc>
          <w:tcPr>
            <w:tcW w:w="723" w:type="dxa"/>
            <w:noWrap w:val="0"/>
            <w:tcMar>
              <w:top w:w="60" w:type="dxa"/>
              <w:left w:w="120" w:type="dxa"/>
              <w:bottom w:w="30" w:type="dxa"/>
              <w:right w:w="120" w:type="dxa"/>
            </w:tcMar>
            <w:vAlign w:val="center"/>
          </w:tcPr>
          <w:p w14:paraId="67D7BD64">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2834" w:type="dxa"/>
            <w:noWrap w:val="0"/>
            <w:tcMar>
              <w:top w:w="60" w:type="dxa"/>
              <w:left w:w="120" w:type="dxa"/>
              <w:bottom w:w="30" w:type="dxa"/>
              <w:right w:w="120" w:type="dxa"/>
            </w:tcMar>
            <w:vAlign w:val="center"/>
          </w:tcPr>
          <w:p w14:paraId="1D2A0051">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按时足额缴纳20万风险储备金，支出后</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0日内足额补足，无逾期补足情况</w:t>
            </w:r>
          </w:p>
        </w:tc>
        <w:tc>
          <w:tcPr>
            <w:tcW w:w="2688" w:type="dxa"/>
            <w:noWrap w:val="0"/>
            <w:tcMar>
              <w:top w:w="60" w:type="dxa"/>
              <w:left w:w="120" w:type="dxa"/>
              <w:bottom w:w="30" w:type="dxa"/>
              <w:right w:w="120" w:type="dxa"/>
            </w:tcMar>
            <w:vAlign w:val="center"/>
          </w:tcPr>
          <w:p w14:paraId="3652AB43">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未按时补足扣3分，逾期每超10天扣1分</w:t>
            </w:r>
          </w:p>
        </w:tc>
        <w:tc>
          <w:tcPr>
            <w:tcW w:w="1610" w:type="dxa"/>
            <w:noWrap w:val="0"/>
            <w:tcMar>
              <w:top w:w="60" w:type="dxa"/>
              <w:left w:w="120" w:type="dxa"/>
              <w:bottom w:w="30" w:type="dxa"/>
              <w:right w:w="120" w:type="dxa"/>
            </w:tcMar>
            <w:vAlign w:val="center"/>
          </w:tcPr>
          <w:p w14:paraId="28E3BD0D">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资金缴纳、补足记录</w:t>
            </w:r>
          </w:p>
        </w:tc>
      </w:tr>
      <w:tr w14:paraId="24D9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76" w:type="dxa"/>
            <w:noWrap w:val="0"/>
            <w:tcMar>
              <w:top w:w="60" w:type="dxa"/>
              <w:left w:w="120" w:type="dxa"/>
              <w:bottom w:w="30" w:type="dxa"/>
              <w:right w:w="120" w:type="dxa"/>
            </w:tcMar>
            <w:vAlign w:val="center"/>
          </w:tcPr>
          <w:p w14:paraId="20B10C4A">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知识产权与保密</w:t>
            </w:r>
          </w:p>
        </w:tc>
        <w:tc>
          <w:tcPr>
            <w:tcW w:w="723" w:type="dxa"/>
            <w:noWrap w:val="0"/>
            <w:tcMar>
              <w:top w:w="60" w:type="dxa"/>
              <w:left w:w="120" w:type="dxa"/>
              <w:bottom w:w="30" w:type="dxa"/>
              <w:right w:w="120" w:type="dxa"/>
            </w:tcMar>
            <w:vAlign w:val="center"/>
          </w:tcPr>
          <w:p w14:paraId="38EA3CD1">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2834" w:type="dxa"/>
            <w:noWrap w:val="0"/>
            <w:tcMar>
              <w:top w:w="60" w:type="dxa"/>
              <w:left w:w="120" w:type="dxa"/>
              <w:bottom w:w="30" w:type="dxa"/>
              <w:right w:w="120" w:type="dxa"/>
            </w:tcMar>
            <w:vAlign w:val="center"/>
          </w:tcPr>
          <w:p w14:paraId="51065628">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严守保密义务，不泄露平台数据及商业秘密，运营成果知识产权归属合规，无侵权行为</w:t>
            </w:r>
          </w:p>
        </w:tc>
        <w:tc>
          <w:tcPr>
            <w:tcW w:w="2688" w:type="dxa"/>
            <w:noWrap w:val="0"/>
            <w:tcMar>
              <w:top w:w="60" w:type="dxa"/>
              <w:left w:w="120" w:type="dxa"/>
              <w:bottom w:w="30" w:type="dxa"/>
              <w:right w:w="120" w:type="dxa"/>
            </w:tcMar>
            <w:vAlign w:val="center"/>
          </w:tcPr>
          <w:p w14:paraId="2ADCE9B1">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违规使用知识产权扣3分，轻微泄密扣2分</w:t>
            </w:r>
          </w:p>
        </w:tc>
        <w:tc>
          <w:tcPr>
            <w:tcW w:w="1610" w:type="dxa"/>
            <w:noWrap w:val="0"/>
            <w:tcMar>
              <w:top w:w="60" w:type="dxa"/>
              <w:left w:w="120" w:type="dxa"/>
              <w:bottom w:w="30" w:type="dxa"/>
              <w:right w:w="120" w:type="dxa"/>
            </w:tcMar>
            <w:vAlign w:val="center"/>
          </w:tcPr>
          <w:p w14:paraId="50065D96">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保密核查、知识产权台账</w:t>
            </w:r>
          </w:p>
        </w:tc>
      </w:tr>
      <w:tr w14:paraId="2D6C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276" w:type="dxa"/>
            <w:noWrap w:val="0"/>
            <w:tcMar>
              <w:top w:w="60" w:type="dxa"/>
              <w:left w:w="120" w:type="dxa"/>
              <w:bottom w:w="30" w:type="dxa"/>
              <w:right w:w="120" w:type="dxa"/>
            </w:tcMar>
            <w:vAlign w:val="center"/>
          </w:tcPr>
          <w:p w14:paraId="4CC41021">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廉洁与反商业贿赂</w:t>
            </w:r>
          </w:p>
        </w:tc>
        <w:tc>
          <w:tcPr>
            <w:tcW w:w="723" w:type="dxa"/>
            <w:noWrap w:val="0"/>
            <w:tcMar>
              <w:top w:w="60" w:type="dxa"/>
              <w:left w:w="120" w:type="dxa"/>
              <w:bottom w:w="30" w:type="dxa"/>
              <w:right w:w="120" w:type="dxa"/>
            </w:tcMar>
            <w:vAlign w:val="center"/>
          </w:tcPr>
          <w:p w14:paraId="727C528B">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10</w:t>
            </w:r>
          </w:p>
        </w:tc>
        <w:tc>
          <w:tcPr>
            <w:tcW w:w="2834" w:type="dxa"/>
            <w:noWrap w:val="0"/>
            <w:tcMar>
              <w:top w:w="60" w:type="dxa"/>
              <w:left w:w="120" w:type="dxa"/>
              <w:bottom w:w="30" w:type="dxa"/>
              <w:right w:w="120" w:type="dxa"/>
            </w:tcMar>
            <w:vAlign w:val="center"/>
          </w:tcPr>
          <w:p w14:paraId="175AB09F">
            <w:pPr>
              <w:shd w:val="clear" w:color="auto" w:fill="auto"/>
              <w:spacing w:before="120" w:after="120" w:line="288" w:lineRule="auto"/>
              <w:ind w:left="0" w:leftChars="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乙方及乙方人员不得向医疗机构、医护人员、入驻商、第三方提供或收受回扣、礼品、礼金、消费卡、有价证券、宴请、旅游、娱乐、好处费、返点、提成等任何不正当利益；</w:t>
            </w:r>
          </w:p>
          <w:p w14:paraId="5DBCE5FD">
            <w:pPr>
              <w:shd w:val="clear" w:color="auto" w:fill="auto"/>
              <w:spacing w:before="120" w:after="120" w:line="288" w:lineRule="auto"/>
              <w:ind w:left="0" w:leftChars="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2.不得实施商业贿赂、利益输送、串通交易；</w:t>
            </w:r>
          </w:p>
          <w:p w14:paraId="528C2369">
            <w:pPr>
              <w:shd w:val="clear" w:color="auto" w:fill="auto"/>
              <w:spacing w:before="120" w:after="120" w:line="288" w:lineRule="auto"/>
              <w:ind w:left="0" w:leftChars="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.乙方须按要求签署廉洁承诺书，接受甲方廉洁监督。</w:t>
            </w:r>
          </w:p>
        </w:tc>
        <w:tc>
          <w:tcPr>
            <w:tcW w:w="2688" w:type="dxa"/>
            <w:noWrap w:val="0"/>
            <w:tcMar>
              <w:top w:w="60" w:type="dxa"/>
              <w:left w:w="120" w:type="dxa"/>
              <w:bottom w:w="30" w:type="dxa"/>
              <w:right w:w="120" w:type="dxa"/>
            </w:tcMar>
            <w:vAlign w:val="center"/>
          </w:tcPr>
          <w:p w14:paraId="0902212B">
            <w:pPr>
              <w:shd w:val="clear" w:color="auto" w:fill="auto"/>
              <w:spacing w:before="120" w:after="120" w:line="288" w:lineRule="auto"/>
              <w:ind w:left="0" w:leftChars="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1.发现1次违规，本项分全部扣完；</w:t>
            </w:r>
          </w:p>
          <w:p w14:paraId="26B75675">
            <w:pPr>
              <w:shd w:val="clear" w:color="auto" w:fill="auto"/>
              <w:spacing w:before="120" w:after="120" w:line="288" w:lineRule="auto"/>
              <w:ind w:left="0" w:leftChars="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2.涉及金额≥1万元，直接判定季度考核不合格；</w:t>
            </w:r>
          </w:p>
          <w:p w14:paraId="326DEF09">
            <w:pPr>
              <w:shd w:val="clear" w:color="auto" w:fill="auto"/>
              <w:spacing w:before="120" w:after="120" w:line="288" w:lineRule="auto"/>
              <w:ind w:left="0" w:leftChars="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3.拒不配合廉洁调查，本项 0 分；</w:t>
            </w:r>
          </w:p>
          <w:p w14:paraId="70F3F0B1">
            <w:pPr>
              <w:shd w:val="clear" w:color="auto" w:fill="auto"/>
              <w:spacing w:before="120" w:after="120" w:line="288" w:lineRule="auto"/>
              <w:ind w:left="0" w:leftChars="0"/>
              <w:jc w:val="both"/>
              <w:rPr>
                <w:rFonts w:hint="eastAsia" w:ascii="仿宋_GB2312" w:hAnsi="仿宋_GB2312" w:eastAsia="仿宋_GB2312" w:cs="仿宋_GB2312"/>
                <w:color w:val="auto"/>
                <w:sz w:val="24"/>
                <w:szCs w:val="24"/>
                <w:highlight w:val="none"/>
              </w:rPr>
            </w:pPr>
          </w:p>
        </w:tc>
        <w:tc>
          <w:tcPr>
            <w:tcW w:w="1610" w:type="dxa"/>
            <w:noWrap w:val="0"/>
            <w:tcMar>
              <w:top w:w="60" w:type="dxa"/>
              <w:left w:w="120" w:type="dxa"/>
              <w:bottom w:w="30" w:type="dxa"/>
              <w:right w:w="120" w:type="dxa"/>
            </w:tcMar>
            <w:vAlign w:val="center"/>
          </w:tcPr>
          <w:p w14:paraId="0BCE5920">
            <w:pPr>
              <w:shd w:val="clear" w:color="auto" w:fill="auto"/>
              <w:spacing w:before="120" w:after="120" w:line="288" w:lineRule="auto"/>
              <w:ind w:left="0" w:left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投诉举报、甲方核查、审计报告、监管通报、乙方承诺书</w:t>
            </w:r>
          </w:p>
        </w:tc>
      </w:tr>
    </w:tbl>
    <w:p w14:paraId="0E3FC63D">
      <w:pPr>
        <w:pStyle w:val="40"/>
        <w:shd w:val="clear" w:color="auto" w:fill="auto"/>
        <w:ind w:firstLine="199" w:firstLineChars="83"/>
        <w:rPr>
          <w:rFonts w:ascii="宋体" w:hAnsi="宋体" w:cs="宋体"/>
          <w:color w:val="auto"/>
          <w:szCs w:val="21"/>
          <w:highlight w:val="none"/>
        </w:rPr>
      </w:pPr>
    </w:p>
    <w:p w14:paraId="1A2C0321">
      <w:pPr>
        <w:keepNext w:val="0"/>
        <w:keepLines w:val="0"/>
        <w:pageBreakBefore w:val="0"/>
        <w:shd w:val="clear" w:color="auto" w:fill="auto"/>
        <w:kinsoku/>
        <w:wordWrap/>
        <w:overflowPunct/>
        <w:topLinePunct w:val="0"/>
        <w:autoSpaceDE/>
        <w:autoSpaceDN/>
        <w:bidi w:val="0"/>
        <w:adjustRightInd/>
        <w:snapToGrid/>
        <w:spacing w:line="500" w:lineRule="exact"/>
        <w:ind w:left="0" w:firstLine="280" w:firstLineChars="100"/>
        <w:jc w:val="left"/>
        <w:textAlignment w:val="auto"/>
        <w:outlineLvl w:val="0"/>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lang w:val="en-US" w:eastAsia="zh-CN"/>
        </w:rPr>
        <w:t>八</w:t>
      </w:r>
      <w:r>
        <w:rPr>
          <w:rFonts w:hint="eastAsia" w:ascii="黑体" w:hAnsi="黑体" w:eastAsia="黑体" w:cs="黑体"/>
          <w:b w:val="0"/>
          <w:bCs/>
          <w:color w:val="auto"/>
          <w:sz w:val="28"/>
          <w:szCs w:val="28"/>
          <w:highlight w:val="none"/>
        </w:rPr>
        <w:t>、考核结果应用</w:t>
      </w:r>
    </w:p>
    <w:p w14:paraId="253679DD">
      <w:pPr>
        <w:keepNext w:val="0"/>
        <w:keepLines w:val="0"/>
        <w:pageBreakBefore w:val="0"/>
        <w:widowControl/>
        <w:suppressLineNumbers w:val="0"/>
        <w:shd w:val="clear" w:color="auto" w:fill="auto"/>
        <w:kinsoku/>
        <w:wordWrap/>
        <w:overflowPunct/>
        <w:topLinePunct w:val="0"/>
        <w:autoSpaceDE/>
        <w:autoSpaceDN/>
        <w:bidi w:val="0"/>
        <w:adjustRightInd/>
        <w:snapToGrid/>
        <w:spacing w:line="50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80分</w:t>
      </w:r>
      <w:r>
        <w:rPr>
          <w:rFonts w:hint="eastAsia" w:ascii="仿宋_GB2312" w:hAnsi="仿宋_GB2312" w:eastAsia="仿宋_GB2312" w:cs="仿宋_GB2312"/>
          <w:b/>
          <w:color w:val="auto"/>
          <w:sz w:val="24"/>
          <w:szCs w:val="24"/>
          <w:highlight w:val="none"/>
          <w:lang w:val="en-US" w:eastAsia="zh-CN"/>
        </w:rPr>
        <w:t>及以上</w:t>
      </w:r>
      <w:r>
        <w:rPr>
          <w:rFonts w:hint="eastAsia" w:ascii="仿宋_GB2312" w:hAnsi="仿宋_GB2312" w:eastAsia="仿宋_GB2312" w:cs="仿宋_GB2312"/>
          <w:b/>
          <w:color w:val="auto"/>
          <w:sz w:val="24"/>
          <w:szCs w:val="24"/>
          <w:highlight w:val="none"/>
        </w:rPr>
        <w:t>（合格）</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en-US" w:eastAsia="zh-CN" w:bidi="ar"/>
        </w:rPr>
        <w:t>乙方运营履约符合合同基本要求，须按合同约定时限、核算金额，100%足额向甲方支付当期收益分成，双方正常履行合同义务，甲方不予额外追责。</w:t>
      </w:r>
    </w:p>
    <w:p w14:paraId="33AC596E">
      <w:pPr>
        <w:keepNext w:val="0"/>
        <w:keepLines w:val="0"/>
        <w:pageBreakBefore w:val="0"/>
        <w:widowControl/>
        <w:suppressLineNumbers w:val="0"/>
        <w:shd w:val="clear" w:color="auto" w:fill="auto"/>
        <w:kinsoku/>
        <w:wordWrap/>
        <w:overflowPunct/>
        <w:topLinePunct w:val="0"/>
        <w:autoSpaceDE/>
        <w:autoSpaceDN/>
        <w:bidi w:val="0"/>
        <w:adjustRightInd/>
        <w:snapToGrid/>
        <w:spacing w:line="500" w:lineRule="exact"/>
        <w:ind w:firstLine="482" w:firstLineChars="200"/>
        <w:jc w:val="left"/>
        <w:textAlignment w:val="auto"/>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color w:val="auto"/>
          <w:sz w:val="24"/>
          <w:szCs w:val="24"/>
          <w:highlight w:val="none"/>
        </w:rPr>
        <w:t>70-79分（基本合格）</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en-US" w:eastAsia="zh-CN" w:bidi="ar"/>
        </w:rPr>
        <w:t>乙方运营履约存在瑕疵，甲方正式发出书面整改通知，乙方须在15个工作日内完成整改并通过甲方复核；当期收益分成按90%兑付，整改逾期或未通过复核的，按考核不合格处理。</w:t>
      </w:r>
    </w:p>
    <w:p w14:paraId="54E24964">
      <w:pPr>
        <w:keepNext w:val="0"/>
        <w:keepLines w:val="0"/>
        <w:pageBreakBefore w:val="0"/>
        <w:widowControl/>
        <w:suppressLineNumbers w:val="0"/>
        <w:shd w:val="clear" w:color="auto" w:fill="auto"/>
        <w:kinsoku/>
        <w:wordWrap/>
        <w:overflowPunct/>
        <w:topLinePunct w:val="0"/>
        <w:autoSpaceDE/>
        <w:autoSpaceDN/>
        <w:bidi w:val="0"/>
        <w:adjustRightInd/>
        <w:snapToGrid/>
        <w:spacing w:line="500" w:lineRule="exact"/>
        <w:ind w:firstLine="482" w:firstLineChars="200"/>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
          <w:color w:val="auto"/>
          <w:sz w:val="24"/>
          <w:szCs w:val="24"/>
          <w:highlight w:val="none"/>
          <w:lang w:val="en-US" w:eastAsia="zh-CN"/>
        </w:rPr>
        <w:t>70</w:t>
      </w:r>
      <w:r>
        <w:rPr>
          <w:rFonts w:hint="eastAsia" w:ascii="仿宋_GB2312" w:hAnsi="仿宋_GB2312" w:eastAsia="仿宋_GB2312" w:cs="仿宋_GB2312"/>
          <w:b/>
          <w:color w:val="auto"/>
          <w:sz w:val="24"/>
          <w:szCs w:val="24"/>
          <w:highlight w:val="none"/>
        </w:rPr>
        <w:t>分</w:t>
      </w:r>
      <w:r>
        <w:rPr>
          <w:rFonts w:hint="eastAsia" w:ascii="仿宋_GB2312" w:hAnsi="仿宋_GB2312" w:eastAsia="仿宋_GB2312" w:cs="仿宋_GB2312"/>
          <w:b/>
          <w:color w:val="auto"/>
          <w:sz w:val="24"/>
          <w:szCs w:val="24"/>
          <w:highlight w:val="none"/>
          <w:lang w:val="en-US" w:eastAsia="zh-CN"/>
        </w:rPr>
        <w:t>以下</w:t>
      </w:r>
      <w:r>
        <w:rPr>
          <w:rFonts w:hint="eastAsia" w:ascii="仿宋_GB2312" w:hAnsi="仿宋_GB2312" w:eastAsia="仿宋_GB2312" w:cs="仿宋_GB2312"/>
          <w:b/>
          <w:color w:val="auto"/>
          <w:sz w:val="24"/>
          <w:szCs w:val="24"/>
          <w:highlight w:val="none"/>
        </w:rPr>
        <w:t>（不合格）</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en-US" w:eastAsia="zh-CN" w:bidi="ar"/>
        </w:rPr>
        <w:t>乙方未达到合同约定的最低运营标准，当期收益分成按70%兑付；乙方须按甲方要求限期整改，整改后仍不达标的，甲方有权按合同约定追究乙方违约责任，启动被动退出流程；涉及年度保底分成未达标部分，乙方须按合同约定，另行足额向甲方补足差额。</w:t>
      </w:r>
    </w:p>
    <w:p w14:paraId="2ECD6DFA">
      <w:pPr>
        <w:keepNext w:val="0"/>
        <w:keepLines w:val="0"/>
        <w:pageBreakBefore w:val="0"/>
        <w:widowControl/>
        <w:suppressLineNumbers w:val="0"/>
        <w:shd w:val="clear" w:color="auto" w:fill="auto"/>
        <w:kinsoku/>
        <w:wordWrap/>
        <w:overflowPunct/>
        <w:topLinePunct w:val="0"/>
        <w:autoSpaceDE/>
        <w:autoSpaceDN/>
        <w:bidi w:val="0"/>
        <w:adjustRightInd/>
        <w:snapToGrid/>
        <w:spacing w:line="500" w:lineRule="exact"/>
        <w:ind w:firstLine="482" w:firstLineChars="200"/>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
          <w:bCs/>
          <w:color w:val="auto"/>
          <w:kern w:val="0"/>
          <w:sz w:val="24"/>
          <w:szCs w:val="24"/>
          <w:highlight w:val="none"/>
          <w:lang w:val="en-US" w:eastAsia="zh-CN" w:bidi="ar"/>
        </w:rPr>
        <w:t>乙方连续两个季度考核不合格</w:t>
      </w:r>
      <w:r>
        <w:rPr>
          <w:rFonts w:hint="eastAsia" w:ascii="仿宋_GB2312" w:hAnsi="仿宋_GB2312" w:eastAsia="仿宋_GB2312" w:cs="仿宋_GB2312"/>
          <w:color w:val="auto"/>
          <w:kern w:val="0"/>
          <w:sz w:val="24"/>
          <w:szCs w:val="24"/>
          <w:highlight w:val="none"/>
          <w:lang w:val="en-US" w:eastAsia="zh-CN" w:bidi="ar"/>
        </w:rPr>
        <w:t>，甲方有权单方解除合同，乙方除按考核结果兑付当期分成、补足年度保底分成差额外，还须承担合同约定的全部违约责任，相关违约金、赔偿金直接从乙方缴纳的风险储备金中抵扣，不足部分由乙方另行足额支付，同时乙方须按合同要求完成全部退出交接工作。</w:t>
      </w:r>
    </w:p>
    <w:p w14:paraId="1FCAE703">
      <w:pPr>
        <w:keepNext w:val="0"/>
        <w:keepLines w:val="0"/>
        <w:pageBreakBefore w:val="0"/>
        <w:widowControl/>
        <w:suppressLineNumbers w:val="0"/>
        <w:shd w:val="clear" w:color="auto" w:fill="auto"/>
        <w:kinsoku/>
        <w:wordWrap/>
        <w:overflowPunct/>
        <w:topLinePunct w:val="0"/>
        <w:autoSpaceDE/>
        <w:autoSpaceDN/>
        <w:bidi w:val="0"/>
        <w:adjustRightInd/>
        <w:snapToGrid/>
        <w:spacing w:line="500" w:lineRule="exact"/>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
        </w:rPr>
        <w:t>若乙方反商业贿赂指标得 0 分（存在商业贿赂、利益输送、虚假数据、阴阳合同行为），无论总分多少，均视为季度考核不合格；情节严重的，甲方有权直接单方解除合同，不予退还风险储备金，并追究乙方全部违约责任。</w:t>
      </w:r>
      <w:bookmarkStart w:id="10" w:name="_GoBack"/>
      <w:bookmarkEnd w:id="10"/>
    </w:p>
    <w:p w14:paraId="375D81B5">
      <w:pPr>
        <w:keepNext w:val="0"/>
        <w:keepLines w:val="0"/>
        <w:pageBreakBefore w:val="0"/>
        <w:shd w:val="clear" w:color="auto" w:fill="auto"/>
        <w:kinsoku/>
        <w:wordWrap/>
        <w:overflowPunct/>
        <w:topLinePunct w:val="0"/>
        <w:autoSpaceDE/>
        <w:autoSpaceDN/>
        <w:bidi w:val="0"/>
        <w:adjustRightInd/>
        <w:snapToGrid/>
        <w:spacing w:line="500" w:lineRule="exact"/>
        <w:ind w:left="0" w:firstLine="560" w:firstLineChars="200"/>
        <w:jc w:val="left"/>
        <w:textAlignment w:val="auto"/>
        <w:outlineLvl w:val="0"/>
        <w:rPr>
          <w:rFonts w:hint="eastAsia" w:ascii="黑体" w:hAnsi="黑体" w:eastAsia="黑体" w:cs="黑体"/>
          <w:b w:val="0"/>
          <w:bCs/>
          <w:color w:val="auto"/>
          <w:sz w:val="28"/>
          <w:szCs w:val="28"/>
          <w:highlight w:val="none"/>
        </w:rPr>
      </w:pPr>
      <w:bookmarkStart w:id="9" w:name="heading_7"/>
      <w:r>
        <w:rPr>
          <w:rFonts w:hint="eastAsia" w:ascii="黑体" w:hAnsi="黑体" w:eastAsia="黑体" w:cs="黑体"/>
          <w:b w:val="0"/>
          <w:bCs/>
          <w:color w:val="auto"/>
          <w:sz w:val="28"/>
          <w:szCs w:val="28"/>
          <w:highlight w:val="none"/>
          <w:lang w:val="en-US" w:eastAsia="zh-CN"/>
        </w:rPr>
        <w:t>九</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val="en-US" w:eastAsia="zh-CN"/>
        </w:rPr>
        <w:t>考核</w:t>
      </w:r>
      <w:r>
        <w:rPr>
          <w:rFonts w:hint="eastAsia" w:ascii="黑体" w:hAnsi="黑体" w:eastAsia="黑体" w:cs="黑体"/>
          <w:b w:val="0"/>
          <w:bCs/>
          <w:color w:val="auto"/>
          <w:sz w:val="28"/>
          <w:szCs w:val="28"/>
          <w:highlight w:val="none"/>
        </w:rPr>
        <w:t>核算与申诉</w:t>
      </w:r>
      <w:bookmarkEnd w:id="9"/>
    </w:p>
    <w:p w14:paraId="6E8F8B09">
      <w:pPr>
        <w:keepNext w:val="0"/>
        <w:keepLines w:val="0"/>
        <w:pageBreakBefore w:val="0"/>
        <w:widowControl/>
        <w:suppressLineNumbers w:val="0"/>
        <w:shd w:val="clear" w:color="auto" w:fill="auto"/>
        <w:kinsoku/>
        <w:wordWrap/>
        <w:overflowPunct/>
        <w:topLinePunct w:val="0"/>
        <w:autoSpaceDE/>
        <w:autoSpaceDN/>
        <w:bidi w:val="0"/>
        <w:adjustRightInd/>
        <w:snapToGrid/>
        <w:spacing w:line="50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季度考核于每季度结束后15日内完成核算，甲方向乙方出具书面考核评分表及对应数据依据。</w:t>
      </w:r>
    </w:p>
    <w:p w14:paraId="07446255">
      <w:pPr>
        <w:keepNext w:val="0"/>
        <w:keepLines w:val="0"/>
        <w:pageBreakBefore w:val="0"/>
        <w:widowControl/>
        <w:suppressLineNumbers w:val="0"/>
        <w:shd w:val="clear" w:color="auto" w:fill="auto"/>
        <w:kinsoku/>
        <w:wordWrap/>
        <w:overflowPunct/>
        <w:topLinePunct w:val="0"/>
        <w:autoSpaceDE/>
        <w:autoSpaceDN/>
        <w:bidi w:val="0"/>
        <w:adjustRightInd/>
        <w:snapToGrid/>
        <w:spacing w:line="500" w:lineRule="exact"/>
        <w:ind w:firstLine="480" w:firstLineChars="200"/>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乙方对考核结果有异议的，可在收到评分表5个工作日内提交书面申诉，双方共同核对原始台账、后台数据复核。</w:t>
      </w:r>
    </w:p>
    <w:p w14:paraId="608DA88D">
      <w:pPr>
        <w:pStyle w:val="40"/>
        <w:shd w:val="clear" w:color="auto" w:fill="auto"/>
        <w:ind w:firstLine="480"/>
        <w:rPr>
          <w:color w:val="auto"/>
          <w:highlight w:val="none"/>
        </w:rPr>
      </w:pPr>
      <w:r>
        <w:rPr>
          <w:rFonts w:hint="eastAsia" w:ascii="仿宋_GB2312" w:hAnsi="仿宋_GB2312" w:eastAsia="仿宋_GB2312" w:cs="仿宋_GB2312"/>
          <w:color w:val="auto"/>
          <w:kern w:val="0"/>
          <w:sz w:val="24"/>
          <w:szCs w:val="24"/>
          <w:highlight w:val="none"/>
          <w:lang w:val="en-US" w:eastAsia="zh-CN" w:bidi="ar"/>
        </w:rPr>
        <w:t>考核指标中的数量目标，按双方备案的年度/季度运营计划确定，计划调整需签订书面补充说明。</w:t>
      </w:r>
      <w:bookmarkEnd w:id="0"/>
      <w:bookmarkEnd w:id="1"/>
    </w:p>
    <w:sectPr>
      <w:headerReference r:id="rId5" w:type="default"/>
      <w:footerReference r:id="rId6" w:type="default"/>
      <w:pgSz w:w="11905" w:h="16838"/>
      <w:pgMar w:top="1088" w:right="1468" w:bottom="1134" w:left="1259" w:header="624" w:footer="567" w:gutter="0"/>
      <w:pgNumType w:fmt="decimal"/>
      <w:cols w:space="72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ECFF18D-78BF-44EA-8C73-38824671197F}"/>
  </w:font>
  <w:font w:name="黑体">
    <w:panose1 w:val="02010609060101010101"/>
    <w:charset w:val="86"/>
    <w:family w:val="auto"/>
    <w:pitch w:val="default"/>
    <w:sig w:usb0="800002BF" w:usb1="38CF7CFA" w:usb2="00000016" w:usb3="00000000" w:csb0="00040001" w:csb1="00000000"/>
    <w:embedRegular r:id="rId2" w:fontKey="{D2D8DEAD-3FEE-4699-9492-E91E4F16A5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Cambria">
    <w:altName w:val="ksdb"/>
    <w:panose1 w:val="02040503050406030204"/>
    <w:charset w:val="00"/>
    <w:family w:val="roman"/>
    <w:pitch w:val="default"/>
    <w:sig w:usb0="00000000" w:usb1="00000000" w:usb2="02000000" w:usb3="00000000" w:csb0="2000019F"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Garamond">
    <w:altName w:val="ksdb"/>
    <w:panose1 w:val="02020404030301010803"/>
    <w:charset w:val="00"/>
    <w:family w:val="roman"/>
    <w:pitch w:val="default"/>
    <w:sig w:usb0="00000000" w:usb1="00000000" w:usb2="00000000" w:usb3="00000000" w:csb0="0000009F" w:csb1="DFD70000"/>
  </w:font>
  <w:font w:name="PMingLiU-ExtB">
    <w:altName w:val="Microsoft JhengHei UI"/>
    <w:panose1 w:val="02020500000000000000"/>
    <w:charset w:val="88"/>
    <w:family w:val="auto"/>
    <w:pitch w:val="default"/>
    <w:sig w:usb0="00000000" w:usb1="00000000" w:usb2="00000000" w:usb3="00000000" w:csb0="0010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DF37553C-D076-4073-AA65-3E9EB37DBB3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800002BF" w:usb1="184F6CF8" w:usb2="00000012" w:usb3="00000000" w:csb0="00160001" w:csb1="12030000"/>
    <w:embedRegular r:id="rId4" w:fontKey="{5DF20846-16C6-40BF-8975-22453AEDA9A7}"/>
  </w:font>
  <w:font w:name="WPSEMBED5">
    <w:panose1 w:val="02010600040101010101"/>
    <w:charset w:val="86"/>
    <w:family w:val="auto"/>
    <w:pitch w:val="default"/>
    <w:sig w:usb0="00000287" w:usb1="080F0000" w:usb2="00000000" w:usb3="00000000" w:csb0="0004009F" w:csb1="DFD70000"/>
  </w:font>
  <w:font w:name="WPSEMBED4">
    <w:panose1 w:val="020F0502020204030204"/>
    <w:charset w:val="00"/>
    <w:family w:val="auto"/>
    <w:pitch w:val="default"/>
    <w:sig w:usb0="E4002EFF" w:usb1="C200247B" w:usb2="00000009" w:usb3="00000000" w:csb0="200001FF" w:csb1="00000000"/>
  </w:font>
  <w:font w:name="ksdb">
    <w:panose1 w:val="02000500000000000000"/>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BDAC9">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9C36FF">
                          <w:pPr>
                            <w:pStyle w:val="27"/>
                          </w:pPr>
                          <w:r>
                            <w:fldChar w:fldCharType="begin"/>
                          </w:r>
                          <w:r>
                            <w:instrText xml:space="preserve"> PAGE  \* MERGEFORMAT </w:instrText>
                          </w:r>
                          <w:r>
                            <w:fldChar w:fldCharType="separate"/>
                          </w:r>
                          <w:r>
                            <w:t>17</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IExCD3gEAAL8DAAAOAAAAAAAA&#10;AAEAIAAAAB4BAABkcnMvZTJvRG9jLnhtbFBLBQYAAAAABgAGAFkBAABuBQAAAAA=&#10;">
              <v:fill on="f" focussize="0,0"/>
              <v:stroke on="f"/>
              <v:imagedata o:title=""/>
              <o:lock v:ext="edit" aspectratio="f"/>
              <v:textbox inset="0mm,0mm,0mm,0mm" style="mso-fit-shape-to-text:t;">
                <w:txbxContent>
                  <w:p w14:paraId="149C36FF">
                    <w:pPr>
                      <w:pStyle w:val="2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121B1">
    <w:pPr>
      <w:pStyle w:val="2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3840" cy="109855"/>
              <wp:effectExtent l="0" t="0" r="0" b="0"/>
              <wp:wrapNone/>
              <wp:docPr id="5" name="文本框 12"/>
              <wp:cNvGraphicFramePr/>
              <a:graphic xmlns:a="http://schemas.openxmlformats.org/drawingml/2006/main">
                <a:graphicData uri="http://schemas.microsoft.com/office/word/2010/wordprocessingShape">
                  <wps:wsp>
                    <wps:cNvSpPr txBox="1"/>
                    <wps:spPr>
                      <a:xfrm>
                        <a:off x="0" y="0"/>
                        <a:ext cx="243840" cy="109855"/>
                      </a:xfrm>
                      <a:prstGeom prst="rect">
                        <a:avLst/>
                      </a:prstGeom>
                      <a:noFill/>
                      <a:ln>
                        <a:noFill/>
                      </a:ln>
                    </wps:spPr>
                    <wps:txbx>
                      <w:txbxContent>
                        <w:p w14:paraId="48F42DB9">
                          <w:pPr>
                            <w:pStyle w:val="27"/>
                          </w:pPr>
                          <w:r>
                            <w:fldChar w:fldCharType="begin"/>
                          </w:r>
                          <w:r>
                            <w:instrText xml:space="preserve"> PAGE  \* MERGEFORMAT </w:instrText>
                          </w:r>
                          <w:r>
                            <w:fldChar w:fldCharType="separate"/>
                          </w:r>
                          <w:r>
                            <w:t>53</w:t>
                          </w:r>
                          <w:r>
                            <w:fldChar w:fldCharType="end"/>
                          </w:r>
                        </w:p>
                      </w:txbxContent>
                    </wps:txbx>
                    <wps:bodyPr vert="horz" wrap="square" lIns="0" tIns="0" rIns="0" bIns="0" anchor="t" anchorCtr="0" upright="0">
                      <a:noAutofit/>
                    </wps:bodyPr>
                  </wps:wsp>
                </a:graphicData>
              </a:graphic>
            </wp:anchor>
          </w:drawing>
        </mc:Choice>
        <mc:Fallback>
          <w:pict>
            <v:shape id="文本框 12" o:spid="_x0000_s1026" o:spt="202" type="#_x0000_t202" style="position:absolute;left:0pt;margin-top:0pt;height:8.65pt;width:19.2pt;mso-position-horizontal:center;mso-position-horizontal-relative:margin;z-index:251660288;mso-width-relative:page;mso-height-relative:page;" filled="f" stroked="f" coordsize="21600,21600" o:gfxdata="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2Q8ItQAAAADAQAA&#10;DwAAAAAAAAABACAAAAAiAAAAZHJzL2Rvd25yZXYueG1sUEsBAhQAFAAAAAgAh07iQMWOA7rkAQAA&#10;vwMAAA4AAAAAAAAAAQAgAAAAIwEAAGRycy9lMm9Eb2MueG1sUEsFBgAAAAAGAAYAWQEAAHkFAAAA&#10;AA==&#10;">
              <v:fill on="f" focussize="0,0"/>
              <v:stroke on="f"/>
              <v:imagedata o:title=""/>
              <o:lock v:ext="edit" aspectratio="f"/>
              <v:textbox inset="0mm,0mm,0mm,0mm">
                <w:txbxContent>
                  <w:p w14:paraId="48F42DB9">
                    <w:pPr>
                      <w:pStyle w:val="2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A0E18">
    <w:pPr>
      <w:spacing w:line="219" w:lineRule="auto"/>
      <w:ind w:firstLine="125"/>
      <w:rPr>
        <w:rFonts w:ascii="宋体" w:hAnsi="宋体" w:cs="宋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7E174">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31"/>
      <w:lvlText w:val=""/>
      <w:lvlJc w:val="left"/>
      <w:pPr>
        <w:tabs>
          <w:tab w:val="left" w:pos="840"/>
        </w:tabs>
        <w:ind w:left="840" w:hanging="420"/>
      </w:pPr>
      <w:rPr>
        <w:rFonts w:hint="default" w:ascii="Wingdings" w:hAnsi="Wingdings"/>
      </w:rPr>
    </w:lvl>
    <w:lvl w:ilvl="2" w:tentative="0">
      <w:start w:val="1"/>
      <w:numFmt w:val="bullet"/>
      <w:pStyle w:val="143"/>
      <w:lvlText w:val=""/>
      <w:lvlJc w:val="left"/>
      <w:pPr>
        <w:tabs>
          <w:tab w:val="left" w:pos="1260"/>
        </w:tabs>
        <w:ind w:left="1260" w:hanging="420"/>
      </w:pPr>
      <w:rPr>
        <w:rFonts w:hint="default" w:ascii="Wingdings" w:hAnsi="Wingdings"/>
      </w:rPr>
    </w:lvl>
    <w:lvl w:ilvl="3" w:tentative="0">
      <w:start w:val="1"/>
      <w:numFmt w:val="bullet"/>
      <w:pStyle w:val="102"/>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12"/>
    <w:multiLevelType w:val="multilevel"/>
    <w:tmpl w:val="00000012"/>
    <w:lvl w:ilvl="0" w:tentative="0">
      <w:start w:val="1"/>
      <w:numFmt w:val="decimal"/>
      <w:pStyle w:val="114"/>
      <w:lvlText w:val="%1."/>
      <w:lvlJc w:val="left"/>
      <w:pPr>
        <w:tabs>
          <w:tab w:val="left" w:pos="425"/>
        </w:tabs>
        <w:ind w:left="425" w:hanging="425"/>
      </w:pPr>
    </w:lvl>
    <w:lvl w:ilvl="1" w:tentative="0">
      <w:start w:val="7"/>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0000001D"/>
    <w:multiLevelType w:val="multilevel"/>
    <w:tmpl w:val="0000001D"/>
    <w:lvl w:ilvl="0" w:tentative="0">
      <w:start w:val="1"/>
      <w:numFmt w:val="decimal"/>
      <w:pStyle w:val="101"/>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109"/>
      <w:lvlText w:val="%1.%2.%3.%4"/>
      <w:lvlJc w:val="left"/>
      <w:pPr>
        <w:tabs>
          <w:tab w:val="left" w:pos="2328"/>
        </w:tabs>
        <w:ind w:left="2328"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5ZGZlNWJkYTQ5ZTYzZjA5ZTBkNWZiODE4Mjc1NWYifQ=="/>
  </w:docVars>
  <w:rsids>
    <w:rsidRoot w:val="00142733"/>
    <w:rsid w:val="000417AA"/>
    <w:rsid w:val="000469F7"/>
    <w:rsid w:val="00061635"/>
    <w:rsid w:val="00085100"/>
    <w:rsid w:val="000D713E"/>
    <w:rsid w:val="000F4279"/>
    <w:rsid w:val="00142733"/>
    <w:rsid w:val="00172348"/>
    <w:rsid w:val="001B0851"/>
    <w:rsid w:val="001F5D0E"/>
    <w:rsid w:val="00285621"/>
    <w:rsid w:val="002A3717"/>
    <w:rsid w:val="002E02E2"/>
    <w:rsid w:val="002F17EA"/>
    <w:rsid w:val="003767DC"/>
    <w:rsid w:val="0039439A"/>
    <w:rsid w:val="003A439B"/>
    <w:rsid w:val="003D31EF"/>
    <w:rsid w:val="00417710"/>
    <w:rsid w:val="004A52C9"/>
    <w:rsid w:val="004A7E67"/>
    <w:rsid w:val="005B4BB7"/>
    <w:rsid w:val="005E0C43"/>
    <w:rsid w:val="00613557"/>
    <w:rsid w:val="006141A2"/>
    <w:rsid w:val="00666897"/>
    <w:rsid w:val="006C12CD"/>
    <w:rsid w:val="006E3CA3"/>
    <w:rsid w:val="006F38F1"/>
    <w:rsid w:val="006F5D70"/>
    <w:rsid w:val="007160AF"/>
    <w:rsid w:val="0072752D"/>
    <w:rsid w:val="00787171"/>
    <w:rsid w:val="007F778C"/>
    <w:rsid w:val="00804A33"/>
    <w:rsid w:val="008306C9"/>
    <w:rsid w:val="00847412"/>
    <w:rsid w:val="00876EB8"/>
    <w:rsid w:val="0090016A"/>
    <w:rsid w:val="0090402F"/>
    <w:rsid w:val="0094346F"/>
    <w:rsid w:val="009B157C"/>
    <w:rsid w:val="009B6B77"/>
    <w:rsid w:val="009C23B9"/>
    <w:rsid w:val="009C3207"/>
    <w:rsid w:val="009D7401"/>
    <w:rsid w:val="009F3F22"/>
    <w:rsid w:val="00A03842"/>
    <w:rsid w:val="00A430DA"/>
    <w:rsid w:val="00A90A4F"/>
    <w:rsid w:val="00AC6677"/>
    <w:rsid w:val="00AD6202"/>
    <w:rsid w:val="00AE1F68"/>
    <w:rsid w:val="00AE31DB"/>
    <w:rsid w:val="00B06B5E"/>
    <w:rsid w:val="00B370E8"/>
    <w:rsid w:val="00B65F00"/>
    <w:rsid w:val="00B70648"/>
    <w:rsid w:val="00B96298"/>
    <w:rsid w:val="00BA1502"/>
    <w:rsid w:val="00BD1318"/>
    <w:rsid w:val="00C3616C"/>
    <w:rsid w:val="00C5203E"/>
    <w:rsid w:val="00C61787"/>
    <w:rsid w:val="00CA0E3E"/>
    <w:rsid w:val="00CC4DE0"/>
    <w:rsid w:val="00D13FB7"/>
    <w:rsid w:val="00D30998"/>
    <w:rsid w:val="00D36E02"/>
    <w:rsid w:val="00DB5A35"/>
    <w:rsid w:val="00DE65D5"/>
    <w:rsid w:val="00E0544B"/>
    <w:rsid w:val="00E46747"/>
    <w:rsid w:val="00F41F40"/>
    <w:rsid w:val="00F72826"/>
    <w:rsid w:val="00F76F53"/>
    <w:rsid w:val="018F3225"/>
    <w:rsid w:val="01B62E2C"/>
    <w:rsid w:val="01C2321E"/>
    <w:rsid w:val="02953272"/>
    <w:rsid w:val="03207384"/>
    <w:rsid w:val="0433100D"/>
    <w:rsid w:val="04E13E7E"/>
    <w:rsid w:val="04F512AE"/>
    <w:rsid w:val="051F457C"/>
    <w:rsid w:val="05373674"/>
    <w:rsid w:val="05676642"/>
    <w:rsid w:val="05A665F5"/>
    <w:rsid w:val="05B86974"/>
    <w:rsid w:val="06B7157D"/>
    <w:rsid w:val="0717079C"/>
    <w:rsid w:val="074B3B46"/>
    <w:rsid w:val="08493A10"/>
    <w:rsid w:val="08B367AB"/>
    <w:rsid w:val="09B3168A"/>
    <w:rsid w:val="0A481841"/>
    <w:rsid w:val="0AE47DFA"/>
    <w:rsid w:val="0B024724"/>
    <w:rsid w:val="0B5B6FAC"/>
    <w:rsid w:val="0BC777FD"/>
    <w:rsid w:val="0C10542F"/>
    <w:rsid w:val="0C290949"/>
    <w:rsid w:val="0CE844A6"/>
    <w:rsid w:val="0D1077CD"/>
    <w:rsid w:val="0E09495B"/>
    <w:rsid w:val="0EBB3CDD"/>
    <w:rsid w:val="0EC75A69"/>
    <w:rsid w:val="0F9242C9"/>
    <w:rsid w:val="0FF84F42"/>
    <w:rsid w:val="100920B1"/>
    <w:rsid w:val="107F7762"/>
    <w:rsid w:val="10A854E3"/>
    <w:rsid w:val="10FF1953"/>
    <w:rsid w:val="112D5E9A"/>
    <w:rsid w:val="115225F0"/>
    <w:rsid w:val="11BF451F"/>
    <w:rsid w:val="126C400E"/>
    <w:rsid w:val="128D4E34"/>
    <w:rsid w:val="144D03E2"/>
    <w:rsid w:val="146A5417"/>
    <w:rsid w:val="149D767F"/>
    <w:rsid w:val="14C52A4A"/>
    <w:rsid w:val="14FD70F8"/>
    <w:rsid w:val="150443FD"/>
    <w:rsid w:val="150572EB"/>
    <w:rsid w:val="15261CD5"/>
    <w:rsid w:val="156D4C43"/>
    <w:rsid w:val="157518DA"/>
    <w:rsid w:val="163873A8"/>
    <w:rsid w:val="163B5061"/>
    <w:rsid w:val="16547BA6"/>
    <w:rsid w:val="16F00564"/>
    <w:rsid w:val="16FD5250"/>
    <w:rsid w:val="17B12250"/>
    <w:rsid w:val="17CD1C16"/>
    <w:rsid w:val="186B401C"/>
    <w:rsid w:val="18BA3C1F"/>
    <w:rsid w:val="19A00F2C"/>
    <w:rsid w:val="1A5F1905"/>
    <w:rsid w:val="1A7A7E33"/>
    <w:rsid w:val="1AB0025A"/>
    <w:rsid w:val="1B762547"/>
    <w:rsid w:val="1CB175C4"/>
    <w:rsid w:val="1D1F4756"/>
    <w:rsid w:val="1D2D1175"/>
    <w:rsid w:val="1DC86D1F"/>
    <w:rsid w:val="1EA01E32"/>
    <w:rsid w:val="1ED47E0B"/>
    <w:rsid w:val="1F876076"/>
    <w:rsid w:val="1F8C60F3"/>
    <w:rsid w:val="1FB060A0"/>
    <w:rsid w:val="203B4C43"/>
    <w:rsid w:val="20855784"/>
    <w:rsid w:val="20B24BA4"/>
    <w:rsid w:val="22280ABD"/>
    <w:rsid w:val="228D0920"/>
    <w:rsid w:val="22CB5885"/>
    <w:rsid w:val="238241FC"/>
    <w:rsid w:val="23B1699D"/>
    <w:rsid w:val="240560D0"/>
    <w:rsid w:val="248F5653"/>
    <w:rsid w:val="25054AD1"/>
    <w:rsid w:val="25783B09"/>
    <w:rsid w:val="258A1146"/>
    <w:rsid w:val="25951FC5"/>
    <w:rsid w:val="26393630"/>
    <w:rsid w:val="26753B8F"/>
    <w:rsid w:val="26844715"/>
    <w:rsid w:val="26ED5E31"/>
    <w:rsid w:val="2709057E"/>
    <w:rsid w:val="277D510B"/>
    <w:rsid w:val="280D223C"/>
    <w:rsid w:val="281650CF"/>
    <w:rsid w:val="28533077"/>
    <w:rsid w:val="2A2878AC"/>
    <w:rsid w:val="2A3354E3"/>
    <w:rsid w:val="2A706EC2"/>
    <w:rsid w:val="2B573C92"/>
    <w:rsid w:val="2B5E554F"/>
    <w:rsid w:val="2CD52E9B"/>
    <w:rsid w:val="2D32459D"/>
    <w:rsid w:val="2E686C10"/>
    <w:rsid w:val="2E945148"/>
    <w:rsid w:val="2E9F1A7A"/>
    <w:rsid w:val="2EBC045D"/>
    <w:rsid w:val="2EC51ECD"/>
    <w:rsid w:val="2F434001"/>
    <w:rsid w:val="2F757E55"/>
    <w:rsid w:val="2FF80C51"/>
    <w:rsid w:val="30840EA9"/>
    <w:rsid w:val="321A4B83"/>
    <w:rsid w:val="331E7E54"/>
    <w:rsid w:val="339715FE"/>
    <w:rsid w:val="33D15DFC"/>
    <w:rsid w:val="341D56D4"/>
    <w:rsid w:val="355D1DBA"/>
    <w:rsid w:val="356B7267"/>
    <w:rsid w:val="36677EB1"/>
    <w:rsid w:val="36762439"/>
    <w:rsid w:val="370577C7"/>
    <w:rsid w:val="373158C6"/>
    <w:rsid w:val="38987B0B"/>
    <w:rsid w:val="38F14DAD"/>
    <w:rsid w:val="39221266"/>
    <w:rsid w:val="39697599"/>
    <w:rsid w:val="39B5054D"/>
    <w:rsid w:val="39FA666B"/>
    <w:rsid w:val="3A633DB4"/>
    <w:rsid w:val="3A654204"/>
    <w:rsid w:val="3AA21306"/>
    <w:rsid w:val="3B6C5563"/>
    <w:rsid w:val="3B717E69"/>
    <w:rsid w:val="3B903503"/>
    <w:rsid w:val="3B9B442E"/>
    <w:rsid w:val="3BC30643"/>
    <w:rsid w:val="3BCE4735"/>
    <w:rsid w:val="3CA30612"/>
    <w:rsid w:val="3D8E4049"/>
    <w:rsid w:val="3E1C2E2C"/>
    <w:rsid w:val="3E4870F5"/>
    <w:rsid w:val="3E946E66"/>
    <w:rsid w:val="3E9A2ABD"/>
    <w:rsid w:val="3EA16B7F"/>
    <w:rsid w:val="3F07412A"/>
    <w:rsid w:val="3F180A9E"/>
    <w:rsid w:val="3F310B59"/>
    <w:rsid w:val="3F4357F9"/>
    <w:rsid w:val="3F660736"/>
    <w:rsid w:val="3FC27A03"/>
    <w:rsid w:val="40E02836"/>
    <w:rsid w:val="40E911BC"/>
    <w:rsid w:val="40F8693A"/>
    <w:rsid w:val="410F6C78"/>
    <w:rsid w:val="411258B6"/>
    <w:rsid w:val="420A5691"/>
    <w:rsid w:val="424E09BC"/>
    <w:rsid w:val="439B0C97"/>
    <w:rsid w:val="441308CB"/>
    <w:rsid w:val="446D4859"/>
    <w:rsid w:val="44C81D00"/>
    <w:rsid w:val="44D10B59"/>
    <w:rsid w:val="44FA0826"/>
    <w:rsid w:val="4521341D"/>
    <w:rsid w:val="45481346"/>
    <w:rsid w:val="468C2B19"/>
    <w:rsid w:val="46AC4F69"/>
    <w:rsid w:val="47283A28"/>
    <w:rsid w:val="47507FEA"/>
    <w:rsid w:val="47D716C3"/>
    <w:rsid w:val="47E045A4"/>
    <w:rsid w:val="480E54FB"/>
    <w:rsid w:val="48AB58D0"/>
    <w:rsid w:val="49740546"/>
    <w:rsid w:val="49DA702B"/>
    <w:rsid w:val="4A1B4F02"/>
    <w:rsid w:val="4A1C5BD4"/>
    <w:rsid w:val="4A971393"/>
    <w:rsid w:val="4AF66567"/>
    <w:rsid w:val="4B253D35"/>
    <w:rsid w:val="4B9308AD"/>
    <w:rsid w:val="4BAB57EF"/>
    <w:rsid w:val="4BF73103"/>
    <w:rsid w:val="4C492827"/>
    <w:rsid w:val="4C533D62"/>
    <w:rsid w:val="4C6364DC"/>
    <w:rsid w:val="4C653C04"/>
    <w:rsid w:val="4C7F75EE"/>
    <w:rsid w:val="4CCD7D07"/>
    <w:rsid w:val="4CFC10F8"/>
    <w:rsid w:val="4D195F2E"/>
    <w:rsid w:val="4D8352B9"/>
    <w:rsid w:val="4DA36E91"/>
    <w:rsid w:val="4DB05E50"/>
    <w:rsid w:val="4DB953D6"/>
    <w:rsid w:val="4E612ADD"/>
    <w:rsid w:val="4ED66090"/>
    <w:rsid w:val="4FE96D51"/>
    <w:rsid w:val="505C52B2"/>
    <w:rsid w:val="50A67DCB"/>
    <w:rsid w:val="51C40D49"/>
    <w:rsid w:val="523429E2"/>
    <w:rsid w:val="5270751C"/>
    <w:rsid w:val="527B23BF"/>
    <w:rsid w:val="52B54F67"/>
    <w:rsid w:val="52B551A5"/>
    <w:rsid w:val="52C1636B"/>
    <w:rsid w:val="52EB1554"/>
    <w:rsid w:val="52EF3659"/>
    <w:rsid w:val="530D588A"/>
    <w:rsid w:val="53963229"/>
    <w:rsid w:val="54566DC5"/>
    <w:rsid w:val="54C47921"/>
    <w:rsid w:val="55D83684"/>
    <w:rsid w:val="56B17B2D"/>
    <w:rsid w:val="56DC2850"/>
    <w:rsid w:val="56F97D56"/>
    <w:rsid w:val="57C33EC0"/>
    <w:rsid w:val="58157109"/>
    <w:rsid w:val="590043C7"/>
    <w:rsid w:val="598A24C5"/>
    <w:rsid w:val="59994DBA"/>
    <w:rsid w:val="59C7413C"/>
    <w:rsid w:val="59E940B2"/>
    <w:rsid w:val="5A294C0A"/>
    <w:rsid w:val="5A4E40EB"/>
    <w:rsid w:val="5ADF1B41"/>
    <w:rsid w:val="5B5B00B0"/>
    <w:rsid w:val="5B617DCA"/>
    <w:rsid w:val="5BC73D40"/>
    <w:rsid w:val="5BEF4273"/>
    <w:rsid w:val="5C023911"/>
    <w:rsid w:val="5C846314"/>
    <w:rsid w:val="5CB94778"/>
    <w:rsid w:val="5CCD46AD"/>
    <w:rsid w:val="5DAC78BD"/>
    <w:rsid w:val="5DB81F5E"/>
    <w:rsid w:val="5DE223C6"/>
    <w:rsid w:val="5DEF6538"/>
    <w:rsid w:val="5E086558"/>
    <w:rsid w:val="5E3478C6"/>
    <w:rsid w:val="5ECC2E23"/>
    <w:rsid w:val="5F9737AE"/>
    <w:rsid w:val="5FC353A5"/>
    <w:rsid w:val="606A36B3"/>
    <w:rsid w:val="60E94A8E"/>
    <w:rsid w:val="60E966AB"/>
    <w:rsid w:val="61AB5B45"/>
    <w:rsid w:val="61B1478E"/>
    <w:rsid w:val="61FE37B7"/>
    <w:rsid w:val="620F54F9"/>
    <w:rsid w:val="62571DD5"/>
    <w:rsid w:val="62932557"/>
    <w:rsid w:val="62C17904"/>
    <w:rsid w:val="62F44CD4"/>
    <w:rsid w:val="63F36663"/>
    <w:rsid w:val="63FE42F3"/>
    <w:rsid w:val="643B7C00"/>
    <w:rsid w:val="649C565F"/>
    <w:rsid w:val="64FF19EE"/>
    <w:rsid w:val="6502059C"/>
    <w:rsid w:val="65E705F6"/>
    <w:rsid w:val="671D7BFA"/>
    <w:rsid w:val="675D3C31"/>
    <w:rsid w:val="67650A83"/>
    <w:rsid w:val="682C0E9B"/>
    <w:rsid w:val="68464D78"/>
    <w:rsid w:val="68942BC2"/>
    <w:rsid w:val="689F6284"/>
    <w:rsid w:val="68A5002A"/>
    <w:rsid w:val="698A49B3"/>
    <w:rsid w:val="69BD2E65"/>
    <w:rsid w:val="6A18009C"/>
    <w:rsid w:val="6AC70588"/>
    <w:rsid w:val="6B3158B9"/>
    <w:rsid w:val="6B555896"/>
    <w:rsid w:val="6BFD4A67"/>
    <w:rsid w:val="6C164AAF"/>
    <w:rsid w:val="6D602485"/>
    <w:rsid w:val="6D6E5137"/>
    <w:rsid w:val="6D737A34"/>
    <w:rsid w:val="6DC17CBB"/>
    <w:rsid w:val="6DE467ED"/>
    <w:rsid w:val="6DEC5AC7"/>
    <w:rsid w:val="6DED679D"/>
    <w:rsid w:val="6E5F1847"/>
    <w:rsid w:val="6E7C2A49"/>
    <w:rsid w:val="6F6F03C4"/>
    <w:rsid w:val="6F837D89"/>
    <w:rsid w:val="6F8D6E36"/>
    <w:rsid w:val="6FDC440C"/>
    <w:rsid w:val="700C2451"/>
    <w:rsid w:val="70357BF9"/>
    <w:rsid w:val="704F5028"/>
    <w:rsid w:val="705B4242"/>
    <w:rsid w:val="714900D5"/>
    <w:rsid w:val="719B725E"/>
    <w:rsid w:val="71F83BF6"/>
    <w:rsid w:val="72E72D01"/>
    <w:rsid w:val="738216DB"/>
    <w:rsid w:val="73DE1A6C"/>
    <w:rsid w:val="74273CFD"/>
    <w:rsid w:val="742A3477"/>
    <w:rsid w:val="74620B47"/>
    <w:rsid w:val="75061B64"/>
    <w:rsid w:val="755D714C"/>
    <w:rsid w:val="755F74C6"/>
    <w:rsid w:val="759B1284"/>
    <w:rsid w:val="75AB6268"/>
    <w:rsid w:val="778F06D0"/>
    <w:rsid w:val="778F1AA1"/>
    <w:rsid w:val="779276DF"/>
    <w:rsid w:val="780E4529"/>
    <w:rsid w:val="781957E3"/>
    <w:rsid w:val="78854120"/>
    <w:rsid w:val="789027AF"/>
    <w:rsid w:val="7983088A"/>
    <w:rsid w:val="7A864AF2"/>
    <w:rsid w:val="7A9674E6"/>
    <w:rsid w:val="7AC57ED0"/>
    <w:rsid w:val="7BA06143"/>
    <w:rsid w:val="7BDF0A19"/>
    <w:rsid w:val="7C483121"/>
    <w:rsid w:val="7CBE2D25"/>
    <w:rsid w:val="7CF45BCD"/>
    <w:rsid w:val="7D203E86"/>
    <w:rsid w:val="7D205000"/>
    <w:rsid w:val="7DA23FF9"/>
    <w:rsid w:val="7E150D22"/>
    <w:rsid w:val="7E887A24"/>
    <w:rsid w:val="7E8F2BCB"/>
    <w:rsid w:val="7F743B6E"/>
    <w:rsid w:val="7FF32CE5"/>
    <w:rsid w:val="7FFD67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widowControl/>
      <w:jc w:val="left"/>
      <w:outlineLvl w:val="0"/>
    </w:pPr>
    <w:rPr>
      <w:b/>
      <w:bCs/>
      <w:kern w:val="0"/>
      <w:sz w:val="24"/>
    </w:rPr>
  </w:style>
  <w:style w:type="paragraph" w:styleId="3">
    <w:name w:val="heading 2"/>
    <w:basedOn w:val="1"/>
    <w:next w:val="1"/>
    <w:link w:val="7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60"/>
    <w:qFormat/>
    <w:uiPriority w:val="0"/>
    <w:pPr>
      <w:keepNext/>
      <w:outlineLvl w:val="2"/>
    </w:pPr>
    <w:rPr>
      <w:rFonts w:ascii="楷体_GB2312" w:hAnsi="宋体" w:eastAsia="楷体_GB2312"/>
      <w:b/>
      <w:bCs/>
      <w:sz w:val="32"/>
    </w:rPr>
  </w:style>
  <w:style w:type="paragraph" w:styleId="5">
    <w:name w:val="heading 4"/>
    <w:basedOn w:val="1"/>
    <w:next w:val="1"/>
    <w:link w:val="80"/>
    <w:qFormat/>
    <w:uiPriority w:val="0"/>
    <w:pPr>
      <w:keepNext/>
      <w:keepLines/>
      <w:widowControl/>
      <w:spacing w:before="280" w:after="290" w:line="376" w:lineRule="auto"/>
      <w:jc w:val="left"/>
      <w:outlineLvl w:val="3"/>
    </w:pPr>
    <w:rPr>
      <w:rFonts w:ascii="Arial" w:hAnsi="Arial" w:eastAsia="黑体"/>
      <w:b/>
      <w:bCs/>
      <w:kern w:val="0"/>
      <w:sz w:val="28"/>
      <w:szCs w:val="28"/>
    </w:rPr>
  </w:style>
  <w:style w:type="paragraph" w:styleId="6">
    <w:name w:val="heading 5"/>
    <w:basedOn w:val="1"/>
    <w:next w:val="1"/>
    <w:link w:val="52"/>
    <w:qFormat/>
    <w:uiPriority w:val="0"/>
    <w:pPr>
      <w:keepNext/>
      <w:keepLines/>
      <w:widowControl/>
      <w:spacing w:before="280" w:after="290" w:line="376" w:lineRule="auto"/>
      <w:jc w:val="left"/>
      <w:outlineLvl w:val="4"/>
    </w:pPr>
    <w:rPr>
      <w:b/>
      <w:bCs/>
      <w:kern w:val="0"/>
      <w:sz w:val="28"/>
      <w:szCs w:val="28"/>
    </w:rPr>
  </w:style>
  <w:style w:type="paragraph" w:styleId="7">
    <w:name w:val="heading 6"/>
    <w:basedOn w:val="1"/>
    <w:next w:val="1"/>
    <w:link w:val="72"/>
    <w:qFormat/>
    <w:uiPriority w:val="0"/>
    <w:pPr>
      <w:keepNext/>
      <w:keepLines/>
      <w:widowControl/>
      <w:spacing w:before="240" w:after="64" w:line="320" w:lineRule="auto"/>
      <w:jc w:val="left"/>
      <w:outlineLvl w:val="5"/>
    </w:pPr>
    <w:rPr>
      <w:rFonts w:ascii="Arial" w:hAnsi="Arial" w:eastAsia="黑体"/>
      <w:b/>
      <w:bCs/>
      <w:kern w:val="0"/>
      <w:sz w:val="24"/>
    </w:rPr>
  </w:style>
  <w:style w:type="paragraph" w:styleId="8">
    <w:name w:val="heading 7"/>
    <w:basedOn w:val="1"/>
    <w:next w:val="1"/>
    <w:link w:val="69"/>
    <w:qFormat/>
    <w:uiPriority w:val="0"/>
    <w:pPr>
      <w:keepNext/>
      <w:keepLines/>
      <w:widowControl/>
      <w:spacing w:before="240" w:after="64" w:line="320" w:lineRule="auto"/>
      <w:jc w:val="left"/>
      <w:outlineLvl w:val="6"/>
    </w:pPr>
    <w:rPr>
      <w:b/>
      <w:bCs/>
      <w:kern w:val="0"/>
      <w:sz w:val="24"/>
    </w:rPr>
  </w:style>
  <w:style w:type="paragraph" w:styleId="9">
    <w:name w:val="heading 8"/>
    <w:basedOn w:val="1"/>
    <w:next w:val="1"/>
    <w:link w:val="81"/>
    <w:qFormat/>
    <w:uiPriority w:val="0"/>
    <w:pPr>
      <w:keepNext/>
      <w:keepLines/>
      <w:widowControl/>
      <w:spacing w:before="240" w:after="64" w:line="320" w:lineRule="auto"/>
      <w:jc w:val="left"/>
      <w:outlineLvl w:val="7"/>
    </w:pPr>
    <w:rPr>
      <w:rFonts w:ascii="Arial" w:hAnsi="Arial" w:eastAsia="黑体"/>
      <w:kern w:val="0"/>
      <w:sz w:val="24"/>
    </w:rPr>
  </w:style>
  <w:style w:type="paragraph" w:styleId="10">
    <w:name w:val="heading 9"/>
    <w:basedOn w:val="1"/>
    <w:next w:val="1"/>
    <w:link w:val="82"/>
    <w:qFormat/>
    <w:uiPriority w:val="0"/>
    <w:pPr>
      <w:keepNext/>
      <w:keepLines/>
      <w:widowControl/>
      <w:spacing w:before="240" w:after="64" w:line="320" w:lineRule="auto"/>
      <w:jc w:val="left"/>
      <w:outlineLvl w:val="8"/>
    </w:pPr>
    <w:rPr>
      <w:rFonts w:ascii="Arial" w:hAnsi="Arial" w:eastAsia="黑体"/>
      <w:kern w:val="0"/>
      <w:szCs w:val="21"/>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next w:val="13"/>
    <w:qFormat/>
    <w:uiPriority w:val="0"/>
    <w:pPr>
      <w:ind w:firstLine="420" w:firstLineChars="200"/>
    </w:pPr>
    <w:rPr>
      <w:szCs w:val="21"/>
    </w:rPr>
  </w:style>
  <w:style w:type="paragraph" w:styleId="13">
    <w:name w:val="Body Text"/>
    <w:basedOn w:val="1"/>
    <w:next w:val="14"/>
    <w:link w:val="75"/>
    <w:qFormat/>
    <w:uiPriority w:val="0"/>
    <w:pPr>
      <w:spacing w:after="120"/>
    </w:p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Document Map"/>
    <w:basedOn w:val="1"/>
    <w:link w:val="83"/>
    <w:qFormat/>
    <w:uiPriority w:val="0"/>
    <w:pPr>
      <w:shd w:val="clear" w:color="auto" w:fill="000080"/>
    </w:pPr>
    <w:rPr>
      <w:szCs w:val="20"/>
    </w:rPr>
  </w:style>
  <w:style w:type="paragraph" w:styleId="16">
    <w:name w:val="annotation text"/>
    <w:basedOn w:val="1"/>
    <w:link w:val="73"/>
    <w:qFormat/>
    <w:uiPriority w:val="0"/>
    <w:pPr>
      <w:jc w:val="left"/>
    </w:pPr>
  </w:style>
  <w:style w:type="paragraph" w:styleId="17">
    <w:name w:val="Body Text 3"/>
    <w:basedOn w:val="1"/>
    <w:link w:val="66"/>
    <w:qFormat/>
    <w:uiPriority w:val="0"/>
    <w:pPr>
      <w:spacing w:after="120"/>
    </w:pPr>
    <w:rPr>
      <w:sz w:val="16"/>
      <w:szCs w:val="16"/>
    </w:rPr>
  </w:style>
  <w:style w:type="paragraph" w:styleId="18">
    <w:name w:val="Body Text Indent"/>
    <w:basedOn w:val="1"/>
    <w:link w:val="76"/>
    <w:qFormat/>
    <w:uiPriority w:val="0"/>
    <w:pPr>
      <w:spacing w:line="560" w:lineRule="exact"/>
      <w:ind w:left="300"/>
    </w:pPr>
    <w:rPr>
      <w:sz w:val="24"/>
    </w:rPr>
  </w:style>
  <w:style w:type="paragraph" w:styleId="19">
    <w:name w:val="toc 5"/>
    <w:basedOn w:val="1"/>
    <w:next w:val="1"/>
    <w:qFormat/>
    <w:uiPriority w:val="0"/>
    <w:pPr>
      <w:ind w:left="1680" w:leftChars="800"/>
    </w:pPr>
  </w:style>
  <w:style w:type="paragraph" w:styleId="20">
    <w:name w:val="toc 3"/>
    <w:basedOn w:val="1"/>
    <w:next w:val="1"/>
    <w:qFormat/>
    <w:uiPriority w:val="0"/>
    <w:pPr>
      <w:ind w:left="840" w:leftChars="400"/>
    </w:pPr>
  </w:style>
  <w:style w:type="paragraph" w:styleId="21">
    <w:name w:val="Plain Text"/>
    <w:basedOn w:val="1"/>
    <w:next w:val="1"/>
    <w:link w:val="64"/>
    <w:qFormat/>
    <w:uiPriority w:val="99"/>
    <w:rPr>
      <w:rFonts w:ascii="宋体" w:hAnsi="Courier New" w:cs="Courier New"/>
      <w:szCs w:val="21"/>
    </w:rPr>
  </w:style>
  <w:style w:type="paragraph" w:styleId="22">
    <w:name w:val="toc 8"/>
    <w:basedOn w:val="1"/>
    <w:next w:val="1"/>
    <w:qFormat/>
    <w:uiPriority w:val="0"/>
    <w:pPr>
      <w:ind w:left="2940" w:leftChars="1400"/>
    </w:pPr>
  </w:style>
  <w:style w:type="paragraph" w:styleId="23">
    <w:name w:val="Date"/>
    <w:basedOn w:val="1"/>
    <w:next w:val="1"/>
    <w:link w:val="53"/>
    <w:qFormat/>
    <w:uiPriority w:val="0"/>
    <w:pPr>
      <w:widowControl/>
    </w:pPr>
    <w:rPr>
      <w:rFonts w:ascii="宋体"/>
      <w:kern w:val="0"/>
      <w:szCs w:val="20"/>
    </w:rPr>
  </w:style>
  <w:style w:type="paragraph" w:styleId="24">
    <w:name w:val="Body Text Indent 2"/>
    <w:basedOn w:val="1"/>
    <w:link w:val="55"/>
    <w:qFormat/>
    <w:uiPriority w:val="0"/>
    <w:pPr>
      <w:spacing w:line="540" w:lineRule="exact"/>
      <w:ind w:left="462" w:leftChars="220"/>
    </w:pPr>
    <w:rPr>
      <w:sz w:val="24"/>
    </w:rPr>
  </w:style>
  <w:style w:type="paragraph" w:styleId="25">
    <w:name w:val="endnote text"/>
    <w:basedOn w:val="1"/>
    <w:link w:val="58"/>
    <w:unhideWhenUsed/>
    <w:qFormat/>
    <w:uiPriority w:val="0"/>
    <w:pPr>
      <w:snapToGrid w:val="0"/>
      <w:jc w:val="left"/>
    </w:pPr>
    <w:rPr>
      <w:rFonts w:ascii="宋体" w:hAnsi="宋体"/>
      <w:kern w:val="0"/>
      <w:sz w:val="28"/>
    </w:rPr>
  </w:style>
  <w:style w:type="paragraph" w:styleId="26">
    <w:name w:val="Balloon Text"/>
    <w:basedOn w:val="1"/>
    <w:link w:val="54"/>
    <w:qFormat/>
    <w:uiPriority w:val="0"/>
    <w:rPr>
      <w:sz w:val="18"/>
      <w:szCs w:val="20"/>
    </w:rPr>
  </w:style>
  <w:style w:type="paragraph" w:styleId="27">
    <w:name w:val="footer"/>
    <w:basedOn w:val="1"/>
    <w:link w:val="77"/>
    <w:unhideWhenUsed/>
    <w:qFormat/>
    <w:uiPriority w:val="0"/>
    <w:pPr>
      <w:tabs>
        <w:tab w:val="center" w:pos="4153"/>
        <w:tab w:val="right" w:pos="8306"/>
      </w:tabs>
      <w:snapToGrid w:val="0"/>
      <w:jc w:val="left"/>
    </w:pPr>
    <w:rPr>
      <w:sz w:val="18"/>
      <w:szCs w:val="18"/>
    </w:rPr>
  </w:style>
  <w:style w:type="paragraph" w:styleId="28">
    <w:name w:val="header"/>
    <w:basedOn w:val="1"/>
    <w:link w:val="70"/>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right" w:leader="dot" w:pos="9060"/>
      </w:tabs>
      <w:spacing w:line="360" w:lineRule="auto"/>
    </w:pPr>
    <w:rPr>
      <w:szCs w:val="20"/>
    </w:rPr>
  </w:style>
  <w:style w:type="paragraph" w:styleId="30">
    <w:name w:val="toc 4"/>
    <w:basedOn w:val="1"/>
    <w:next w:val="1"/>
    <w:qFormat/>
    <w:uiPriority w:val="0"/>
    <w:pPr>
      <w:ind w:left="1260" w:leftChars="600"/>
    </w:pPr>
  </w:style>
  <w:style w:type="paragraph" w:styleId="31">
    <w:name w:val="toc 6"/>
    <w:basedOn w:val="1"/>
    <w:next w:val="1"/>
    <w:qFormat/>
    <w:uiPriority w:val="0"/>
    <w:pPr>
      <w:ind w:left="2100" w:leftChars="1000"/>
    </w:pPr>
  </w:style>
  <w:style w:type="paragraph" w:styleId="32">
    <w:name w:val="Body Text Indent 3"/>
    <w:basedOn w:val="1"/>
    <w:link w:val="78"/>
    <w:qFormat/>
    <w:uiPriority w:val="0"/>
    <w:pPr>
      <w:spacing w:after="120"/>
      <w:ind w:left="420" w:leftChars="200"/>
    </w:pPr>
    <w:rPr>
      <w:sz w:val="16"/>
      <w:szCs w:val="16"/>
    </w:rPr>
  </w:style>
  <w:style w:type="paragraph" w:styleId="33">
    <w:name w:val="toc 2"/>
    <w:basedOn w:val="1"/>
    <w:next w:val="1"/>
    <w:qFormat/>
    <w:uiPriority w:val="0"/>
    <w:pPr>
      <w:tabs>
        <w:tab w:val="right" w:leader="dot" w:pos="9360"/>
      </w:tabs>
      <w:spacing w:line="400" w:lineRule="exact"/>
      <w:ind w:left="420" w:leftChars="200" w:firstLine="1018" w:firstLineChars="485"/>
    </w:pPr>
    <w:rPr>
      <w:rFonts w:ascii="黑体" w:hAnsi="宋体"/>
      <w:kern w:val="44"/>
    </w:rPr>
  </w:style>
  <w:style w:type="paragraph" w:styleId="34">
    <w:name w:val="toc 9"/>
    <w:basedOn w:val="1"/>
    <w:next w:val="1"/>
    <w:qFormat/>
    <w:uiPriority w:val="0"/>
    <w:pPr>
      <w:ind w:left="3360" w:leftChars="1600"/>
    </w:pPr>
  </w:style>
  <w:style w:type="paragraph" w:styleId="35">
    <w:name w:val="Body Text 2"/>
    <w:basedOn w:val="1"/>
    <w:link w:val="62"/>
    <w:qFormat/>
    <w:uiPriority w:val="0"/>
    <w:pPr>
      <w:spacing w:after="120" w:line="480" w:lineRule="auto"/>
    </w:pPr>
    <w:rPr>
      <w:szCs w:val="20"/>
    </w:rPr>
  </w:style>
  <w:style w:type="paragraph" w:styleId="36">
    <w:name w:val="HTML Preformatted"/>
    <w:basedOn w:val="1"/>
    <w:link w:val="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7">
    <w:name w:val="Normal (Web)"/>
    <w:basedOn w:val="1"/>
    <w:qFormat/>
    <w:uiPriority w:val="0"/>
    <w:pPr>
      <w:widowControl/>
      <w:spacing w:before="100" w:beforeAutospacing="1" w:after="100" w:afterAutospacing="1"/>
      <w:jc w:val="left"/>
    </w:pPr>
    <w:rPr>
      <w:rFonts w:ascii="宋体" w:hAnsi="宋体"/>
      <w:kern w:val="0"/>
      <w:sz w:val="24"/>
    </w:rPr>
  </w:style>
  <w:style w:type="paragraph" w:styleId="38">
    <w:name w:val="annotation subject"/>
    <w:basedOn w:val="16"/>
    <w:next w:val="16"/>
    <w:link w:val="84"/>
    <w:qFormat/>
    <w:uiPriority w:val="0"/>
    <w:rPr>
      <w:b/>
      <w:bCs/>
    </w:rPr>
  </w:style>
  <w:style w:type="paragraph" w:styleId="39">
    <w:name w:val="Body Text First Indent"/>
    <w:basedOn w:val="13"/>
    <w:next w:val="40"/>
    <w:link w:val="56"/>
    <w:qFormat/>
    <w:uiPriority w:val="0"/>
    <w:pPr>
      <w:spacing w:line="360" w:lineRule="auto"/>
      <w:ind w:firstLine="420" w:firstLineChars="100"/>
    </w:pPr>
    <w:rPr>
      <w:rFonts w:ascii="Calibri" w:hAnsi="Calibri"/>
      <w:szCs w:val="22"/>
    </w:rPr>
  </w:style>
  <w:style w:type="paragraph" w:customStyle="1" w:styleId="40">
    <w:name w:val="_正文"/>
    <w:basedOn w:val="1"/>
    <w:qFormat/>
    <w:uiPriority w:val="0"/>
    <w:pPr>
      <w:spacing w:line="360" w:lineRule="auto"/>
      <w:ind w:firstLine="200" w:firstLineChars="200"/>
    </w:pPr>
    <w:rPr>
      <w:sz w:val="24"/>
    </w:rPr>
  </w:style>
  <w:style w:type="paragraph" w:styleId="41">
    <w:name w:val="Body Text First Indent 2"/>
    <w:basedOn w:val="18"/>
    <w:link w:val="63"/>
    <w:qFormat/>
    <w:uiPriority w:val="0"/>
    <w:pPr>
      <w:ind w:left="0" w:firstLine="420" w:firstLineChars="200"/>
    </w:pPr>
  </w:style>
  <w:style w:type="table" w:styleId="43">
    <w:name w:val="Table Grid"/>
    <w:basedOn w:val="42"/>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bCs/>
    </w:rPr>
  </w:style>
  <w:style w:type="character" w:styleId="46">
    <w:name w:val="page number"/>
    <w:qFormat/>
    <w:uiPriority w:val="0"/>
  </w:style>
  <w:style w:type="character" w:styleId="47">
    <w:name w:val="FollowedHyperlink"/>
    <w:qFormat/>
    <w:uiPriority w:val="0"/>
    <w:rPr>
      <w:color w:val="333333"/>
      <w:u w:val="none"/>
    </w:rPr>
  </w:style>
  <w:style w:type="character" w:styleId="48">
    <w:name w:val="Emphasis"/>
    <w:qFormat/>
    <w:uiPriority w:val="20"/>
    <w:rPr>
      <w:u w:val="none"/>
    </w:rPr>
  </w:style>
  <w:style w:type="character" w:styleId="49">
    <w:name w:val="Hyperlink"/>
    <w:qFormat/>
    <w:uiPriority w:val="99"/>
    <w:rPr>
      <w:color w:val="333333"/>
      <w:u w:val="none"/>
    </w:rPr>
  </w:style>
  <w:style w:type="character" w:styleId="50">
    <w:name w:val="annotation reference"/>
    <w:qFormat/>
    <w:uiPriority w:val="0"/>
    <w:rPr>
      <w:sz w:val="21"/>
      <w:szCs w:val="21"/>
    </w:rPr>
  </w:style>
  <w:style w:type="character" w:customStyle="1" w:styleId="51">
    <w:name w:val="标题 1 字符"/>
    <w:link w:val="2"/>
    <w:qFormat/>
    <w:uiPriority w:val="0"/>
    <w:rPr>
      <w:rFonts w:ascii="Times New Roman" w:hAnsi="Times New Roman" w:eastAsia="宋体" w:cs="Times New Roman"/>
      <w:b/>
      <w:bCs/>
      <w:kern w:val="0"/>
      <w:sz w:val="24"/>
      <w:szCs w:val="24"/>
    </w:rPr>
  </w:style>
  <w:style w:type="character" w:customStyle="1" w:styleId="52">
    <w:name w:val="标题 5 字符"/>
    <w:link w:val="6"/>
    <w:qFormat/>
    <w:uiPriority w:val="0"/>
    <w:rPr>
      <w:rFonts w:ascii="Times New Roman" w:hAnsi="Times New Roman" w:eastAsia="宋体" w:cs="Times New Roman"/>
      <w:b/>
      <w:bCs/>
      <w:kern w:val="0"/>
      <w:sz w:val="28"/>
      <w:szCs w:val="28"/>
    </w:rPr>
  </w:style>
  <w:style w:type="character" w:customStyle="1" w:styleId="53">
    <w:name w:val="日期 字符"/>
    <w:link w:val="23"/>
    <w:qFormat/>
    <w:uiPriority w:val="0"/>
    <w:rPr>
      <w:rFonts w:ascii="宋体" w:hAnsi="Times New Roman" w:eastAsia="宋体" w:cs="Times New Roman"/>
      <w:kern w:val="0"/>
      <w:szCs w:val="20"/>
    </w:rPr>
  </w:style>
  <w:style w:type="character" w:customStyle="1" w:styleId="54">
    <w:name w:val="批注框文本 字符"/>
    <w:link w:val="26"/>
    <w:qFormat/>
    <w:uiPriority w:val="0"/>
    <w:rPr>
      <w:rFonts w:ascii="Times New Roman" w:hAnsi="Times New Roman" w:eastAsia="宋体" w:cs="Times New Roman"/>
      <w:sz w:val="18"/>
      <w:szCs w:val="20"/>
    </w:rPr>
  </w:style>
  <w:style w:type="character" w:customStyle="1" w:styleId="55">
    <w:name w:val="正文文本缩进 2 字符"/>
    <w:link w:val="24"/>
    <w:qFormat/>
    <w:uiPriority w:val="0"/>
    <w:rPr>
      <w:rFonts w:ascii="Times New Roman" w:hAnsi="Times New Roman" w:eastAsia="宋体" w:cs="Times New Roman"/>
      <w:sz w:val="24"/>
      <w:szCs w:val="24"/>
    </w:rPr>
  </w:style>
  <w:style w:type="character" w:customStyle="1" w:styleId="56">
    <w:name w:val="正文文本首行缩进 字符"/>
    <w:link w:val="39"/>
    <w:qFormat/>
    <w:uiPriority w:val="0"/>
    <w:rPr>
      <w:rFonts w:ascii="Calibri" w:hAnsi="Calibri"/>
    </w:rPr>
  </w:style>
  <w:style w:type="character" w:customStyle="1" w:styleId="57">
    <w:name w:val="headline-content3"/>
    <w:qFormat/>
    <w:uiPriority w:val="0"/>
  </w:style>
  <w:style w:type="character" w:customStyle="1" w:styleId="58">
    <w:name w:val="尾注文本 字符"/>
    <w:link w:val="25"/>
    <w:qFormat/>
    <w:uiPriority w:val="0"/>
    <w:rPr>
      <w:rFonts w:ascii="宋体" w:hAnsi="宋体" w:eastAsia="宋体" w:cs="Times New Roman"/>
      <w:kern w:val="0"/>
      <w:sz w:val="28"/>
      <w:szCs w:val="24"/>
    </w:rPr>
  </w:style>
  <w:style w:type="character" w:customStyle="1" w:styleId="59">
    <w:name w:val="s10pv000000"/>
    <w:qFormat/>
    <w:uiPriority w:val="0"/>
  </w:style>
  <w:style w:type="character" w:customStyle="1" w:styleId="60">
    <w:name w:val="标题 3 字符"/>
    <w:link w:val="4"/>
    <w:qFormat/>
    <w:uiPriority w:val="0"/>
    <w:rPr>
      <w:rFonts w:ascii="楷体_GB2312" w:hAnsi="宋体" w:eastAsia="楷体_GB2312" w:cs="Times New Roman"/>
      <w:b/>
      <w:bCs/>
      <w:sz w:val="32"/>
      <w:szCs w:val="24"/>
    </w:rPr>
  </w:style>
  <w:style w:type="character" w:customStyle="1" w:styleId="61">
    <w:name w:val="p141"/>
    <w:qFormat/>
    <w:uiPriority w:val="0"/>
    <w:rPr>
      <w:sz w:val="21"/>
      <w:szCs w:val="21"/>
    </w:rPr>
  </w:style>
  <w:style w:type="character" w:customStyle="1" w:styleId="62">
    <w:name w:val="正文文本 2 字符"/>
    <w:link w:val="35"/>
    <w:qFormat/>
    <w:uiPriority w:val="0"/>
    <w:rPr>
      <w:rFonts w:ascii="Times New Roman" w:hAnsi="Times New Roman" w:eastAsia="宋体" w:cs="Times New Roman"/>
      <w:szCs w:val="20"/>
    </w:rPr>
  </w:style>
  <w:style w:type="character" w:customStyle="1" w:styleId="63">
    <w:name w:val="正文文本首行缩进 2 字符"/>
    <w:link w:val="41"/>
    <w:qFormat/>
    <w:uiPriority w:val="0"/>
  </w:style>
  <w:style w:type="character" w:customStyle="1" w:styleId="64">
    <w:name w:val="纯文本 字符"/>
    <w:link w:val="21"/>
    <w:qFormat/>
    <w:uiPriority w:val="99"/>
    <w:rPr>
      <w:rFonts w:ascii="宋体" w:hAnsi="Courier New" w:eastAsia="宋体" w:cs="Courier New"/>
      <w:szCs w:val="21"/>
    </w:rPr>
  </w:style>
  <w:style w:type="character" w:customStyle="1" w:styleId="65">
    <w:name w:val="Char Char4"/>
    <w:qFormat/>
    <w:uiPriority w:val="0"/>
    <w:rPr>
      <w:rFonts w:ascii="Arial" w:hAnsi="Arial" w:eastAsia="黑体"/>
      <w:b/>
      <w:bCs/>
      <w:kern w:val="2"/>
      <w:sz w:val="32"/>
      <w:szCs w:val="32"/>
      <w:lang w:val="en-US" w:eastAsia="zh-CN" w:bidi="ar-SA"/>
    </w:rPr>
  </w:style>
  <w:style w:type="character" w:customStyle="1" w:styleId="66">
    <w:name w:val="正文文本 3 字符"/>
    <w:link w:val="17"/>
    <w:qFormat/>
    <w:uiPriority w:val="0"/>
    <w:rPr>
      <w:rFonts w:ascii="Times New Roman" w:hAnsi="Times New Roman" w:eastAsia="宋体" w:cs="Times New Roman"/>
      <w:sz w:val="16"/>
      <w:szCs w:val="16"/>
    </w:rPr>
  </w:style>
  <w:style w:type="character" w:customStyle="1" w:styleId="67">
    <w:name w:val="标题 1 Char"/>
    <w:link w:val="2"/>
    <w:qFormat/>
    <w:uiPriority w:val="0"/>
    <w:rPr>
      <w:rFonts w:ascii="宋体" w:hAnsi="宋体" w:eastAsia="仿宋"/>
      <w:b/>
      <w:kern w:val="0"/>
      <w:sz w:val="28"/>
    </w:rPr>
  </w:style>
  <w:style w:type="character" w:customStyle="1" w:styleId="68">
    <w:name w:val="apple-converted-space"/>
    <w:qFormat/>
    <w:uiPriority w:val="0"/>
  </w:style>
  <w:style w:type="character" w:customStyle="1" w:styleId="69">
    <w:name w:val="标题 7 字符"/>
    <w:link w:val="8"/>
    <w:qFormat/>
    <w:uiPriority w:val="0"/>
    <w:rPr>
      <w:rFonts w:ascii="Times New Roman" w:hAnsi="Times New Roman" w:eastAsia="宋体" w:cs="Times New Roman"/>
      <w:b/>
      <w:bCs/>
      <w:kern w:val="0"/>
      <w:sz w:val="24"/>
      <w:szCs w:val="24"/>
    </w:rPr>
  </w:style>
  <w:style w:type="character" w:customStyle="1" w:styleId="70">
    <w:name w:val="页眉 字符"/>
    <w:link w:val="28"/>
    <w:qFormat/>
    <w:uiPriority w:val="0"/>
    <w:rPr>
      <w:sz w:val="18"/>
      <w:szCs w:val="18"/>
    </w:rPr>
  </w:style>
  <w:style w:type="character" w:customStyle="1" w:styleId="71">
    <w:name w:val="H2 Char"/>
    <w:qFormat/>
    <w:uiPriority w:val="0"/>
    <w:rPr>
      <w:rFonts w:ascii="Arial" w:hAnsi="Arial" w:eastAsia="黑体"/>
      <w:b/>
      <w:bCs/>
      <w:kern w:val="2"/>
      <w:sz w:val="32"/>
      <w:szCs w:val="32"/>
      <w:lang w:val="en-US" w:eastAsia="zh-CN" w:bidi="ar-SA"/>
    </w:rPr>
  </w:style>
  <w:style w:type="character" w:customStyle="1" w:styleId="72">
    <w:name w:val="标题 6 字符"/>
    <w:link w:val="7"/>
    <w:qFormat/>
    <w:uiPriority w:val="0"/>
    <w:rPr>
      <w:rFonts w:ascii="Arial" w:hAnsi="Arial" w:eastAsia="黑体" w:cs="Times New Roman"/>
      <w:b/>
      <w:bCs/>
      <w:kern w:val="0"/>
      <w:sz w:val="24"/>
      <w:szCs w:val="24"/>
    </w:rPr>
  </w:style>
  <w:style w:type="character" w:customStyle="1" w:styleId="73">
    <w:name w:val="批注文字 字符"/>
    <w:link w:val="16"/>
    <w:qFormat/>
    <w:uiPriority w:val="0"/>
    <w:rPr>
      <w:rFonts w:ascii="Times New Roman" w:hAnsi="Times New Roman" w:eastAsia="宋体" w:cs="Times New Roman"/>
      <w:szCs w:val="24"/>
    </w:rPr>
  </w:style>
  <w:style w:type="character" w:customStyle="1" w:styleId="74">
    <w:name w:val="HTML 预设格式 字符"/>
    <w:link w:val="36"/>
    <w:qFormat/>
    <w:uiPriority w:val="0"/>
    <w:rPr>
      <w:rFonts w:ascii="黑体" w:hAnsi="Courier New" w:eastAsia="黑体" w:cs="Courier New"/>
      <w:kern w:val="0"/>
      <w:sz w:val="20"/>
      <w:szCs w:val="20"/>
    </w:rPr>
  </w:style>
  <w:style w:type="character" w:customStyle="1" w:styleId="75">
    <w:name w:val="正文文本 字符"/>
    <w:link w:val="13"/>
    <w:qFormat/>
    <w:uiPriority w:val="0"/>
    <w:rPr>
      <w:rFonts w:ascii="Times New Roman" w:hAnsi="Times New Roman" w:eastAsia="宋体" w:cs="Times New Roman"/>
      <w:szCs w:val="24"/>
    </w:rPr>
  </w:style>
  <w:style w:type="character" w:customStyle="1" w:styleId="76">
    <w:name w:val="正文文本缩进 字符"/>
    <w:link w:val="18"/>
    <w:qFormat/>
    <w:uiPriority w:val="0"/>
    <w:rPr>
      <w:rFonts w:ascii="Times New Roman" w:hAnsi="Times New Roman" w:eastAsia="宋体" w:cs="Times New Roman"/>
      <w:sz w:val="24"/>
      <w:szCs w:val="24"/>
    </w:rPr>
  </w:style>
  <w:style w:type="character" w:customStyle="1" w:styleId="77">
    <w:name w:val="页脚 字符"/>
    <w:link w:val="27"/>
    <w:qFormat/>
    <w:uiPriority w:val="0"/>
    <w:rPr>
      <w:sz w:val="18"/>
      <w:szCs w:val="18"/>
    </w:rPr>
  </w:style>
  <w:style w:type="character" w:customStyle="1" w:styleId="78">
    <w:name w:val="正文文本缩进 3 字符"/>
    <w:link w:val="32"/>
    <w:qFormat/>
    <w:uiPriority w:val="0"/>
    <w:rPr>
      <w:rFonts w:ascii="Times New Roman" w:hAnsi="Times New Roman" w:eastAsia="宋体" w:cs="Times New Roman"/>
      <w:sz w:val="16"/>
      <w:szCs w:val="16"/>
    </w:rPr>
  </w:style>
  <w:style w:type="character" w:customStyle="1" w:styleId="79">
    <w:name w:val="标题 2 字符"/>
    <w:link w:val="3"/>
    <w:qFormat/>
    <w:uiPriority w:val="0"/>
    <w:rPr>
      <w:rFonts w:ascii="Arial" w:hAnsi="Arial" w:eastAsia="黑体" w:cs="Times New Roman"/>
      <w:b/>
      <w:bCs/>
      <w:sz w:val="32"/>
      <w:szCs w:val="32"/>
    </w:rPr>
  </w:style>
  <w:style w:type="character" w:customStyle="1" w:styleId="80">
    <w:name w:val="标题 4 字符"/>
    <w:link w:val="5"/>
    <w:qFormat/>
    <w:uiPriority w:val="0"/>
    <w:rPr>
      <w:rFonts w:ascii="Arial" w:hAnsi="Arial" w:eastAsia="黑体" w:cs="Times New Roman"/>
      <w:b/>
      <w:bCs/>
      <w:kern w:val="0"/>
      <w:sz w:val="28"/>
      <w:szCs w:val="28"/>
    </w:rPr>
  </w:style>
  <w:style w:type="character" w:customStyle="1" w:styleId="81">
    <w:name w:val="标题 8 字符"/>
    <w:link w:val="9"/>
    <w:qFormat/>
    <w:uiPriority w:val="0"/>
    <w:rPr>
      <w:rFonts w:ascii="Arial" w:hAnsi="Arial" w:eastAsia="黑体" w:cs="Times New Roman"/>
      <w:kern w:val="0"/>
      <w:sz w:val="24"/>
      <w:szCs w:val="24"/>
    </w:rPr>
  </w:style>
  <w:style w:type="character" w:customStyle="1" w:styleId="82">
    <w:name w:val="标题 9 字符"/>
    <w:link w:val="10"/>
    <w:qFormat/>
    <w:uiPriority w:val="0"/>
    <w:rPr>
      <w:rFonts w:ascii="Arial" w:hAnsi="Arial" w:eastAsia="黑体" w:cs="Times New Roman"/>
      <w:kern w:val="0"/>
      <w:szCs w:val="21"/>
    </w:rPr>
  </w:style>
  <w:style w:type="character" w:customStyle="1" w:styleId="83">
    <w:name w:val="文档结构图 字符"/>
    <w:link w:val="15"/>
    <w:qFormat/>
    <w:uiPriority w:val="0"/>
    <w:rPr>
      <w:rFonts w:ascii="Times New Roman" w:hAnsi="Times New Roman" w:eastAsia="宋体" w:cs="Times New Roman"/>
      <w:szCs w:val="20"/>
      <w:shd w:val="clear" w:color="auto" w:fill="000080"/>
    </w:rPr>
  </w:style>
  <w:style w:type="character" w:customStyle="1" w:styleId="84">
    <w:name w:val="批注主题 字符"/>
    <w:link w:val="38"/>
    <w:qFormat/>
    <w:uiPriority w:val="0"/>
    <w:rPr>
      <w:b/>
      <w:bCs/>
    </w:rPr>
  </w:style>
  <w:style w:type="character" w:customStyle="1" w:styleId="85">
    <w:name w:val="owl-numbers"/>
    <w:qFormat/>
    <w:uiPriority w:val="0"/>
    <w:rPr>
      <w:color w:val="FFFFFF"/>
      <w:sz w:val="18"/>
      <w:szCs w:val="18"/>
    </w:rPr>
  </w:style>
  <w:style w:type="character" w:customStyle="1" w:styleId="86">
    <w:name w:val="f141"/>
    <w:qFormat/>
    <w:uiPriority w:val="0"/>
    <w:rPr>
      <w:sz w:val="21"/>
      <w:szCs w:val="21"/>
    </w:rPr>
  </w:style>
  <w:style w:type="character" w:customStyle="1" w:styleId="87">
    <w:name w:val="纯文本 Char Char Char Char"/>
    <w:qFormat/>
    <w:uiPriority w:val="0"/>
    <w:rPr>
      <w:rFonts w:ascii="宋体" w:hAnsi="Courier New" w:eastAsia="宋体" w:cs="Courier New"/>
      <w:kern w:val="2"/>
      <w:sz w:val="21"/>
      <w:szCs w:val="21"/>
      <w:lang w:val="en-US" w:eastAsia="zh-CN" w:bidi="ar-SA"/>
    </w:rPr>
  </w:style>
  <w:style w:type="paragraph" w:styleId="88">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9">
    <w:name w:val="null3"/>
    <w:qFormat/>
    <w:uiPriority w:val="0"/>
    <w:rPr>
      <w:rFonts w:hint="eastAsia" w:ascii="Calibri" w:hAnsi="Calibri" w:eastAsia="宋体" w:cs="Times New Roman"/>
      <w:lang w:val="en-US" w:eastAsia="zh-Hans"/>
    </w:rPr>
  </w:style>
  <w:style w:type="paragraph" w:customStyle="1" w:styleId="9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92">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93">
    <w:name w:val="_Style 92"/>
    <w:unhideWhenUsed/>
    <w:qFormat/>
    <w:uiPriority w:val="99"/>
    <w:rPr>
      <w:rFonts w:ascii="Times New Roman" w:hAnsi="Times New Roman" w:eastAsia="宋体" w:cs="Times New Roman"/>
      <w:kern w:val="2"/>
      <w:sz w:val="21"/>
      <w:szCs w:val="24"/>
      <w:lang w:val="en-US" w:eastAsia="zh-CN" w:bidi="ar-SA"/>
    </w:rPr>
  </w:style>
  <w:style w:type="paragraph" w:customStyle="1" w:styleId="94">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95">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96">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97">
    <w:name w:val="基准标题"/>
    <w:basedOn w:val="13"/>
    <w:next w:val="13"/>
    <w:qFormat/>
    <w:uiPriority w:val="0"/>
    <w:pPr>
      <w:keepNext/>
      <w:keepLines/>
      <w:widowControl/>
      <w:spacing w:after="0" w:line="240" w:lineRule="atLeast"/>
      <w:jc w:val="left"/>
    </w:pPr>
    <w:rPr>
      <w:rFonts w:ascii="Garamond" w:hAnsi="Garamond"/>
      <w:kern w:val="20"/>
      <w:sz w:val="22"/>
      <w:szCs w:val="20"/>
      <w:lang w:bidi="he-IL"/>
    </w:rPr>
  </w:style>
  <w:style w:type="paragraph" w:customStyle="1" w:styleId="98">
    <w:name w:val="Char Char Char Char Char Char Char Char1 Char Char Char Char"/>
    <w:basedOn w:val="1"/>
    <w:qFormat/>
    <w:uiPriority w:val="0"/>
    <w:pPr>
      <w:widowControl/>
      <w:spacing w:after="160" w:line="240" w:lineRule="exact"/>
      <w:jc w:val="left"/>
    </w:pPr>
    <w:rPr>
      <w:szCs w:val="20"/>
    </w:rPr>
  </w:style>
  <w:style w:type="paragraph" w:customStyle="1" w:styleId="99">
    <w:name w:val="默认段落字体 Para Char Char Char Char"/>
    <w:basedOn w:val="1"/>
    <w:qFormat/>
    <w:uiPriority w:val="0"/>
    <w:rPr>
      <w:szCs w:val="20"/>
    </w:rPr>
  </w:style>
  <w:style w:type="paragraph" w:customStyle="1" w:styleId="100">
    <w:name w:val="3 Char"/>
    <w:basedOn w:val="1"/>
    <w:qFormat/>
    <w:uiPriority w:val="0"/>
    <w:pPr>
      <w:widowControl/>
      <w:spacing w:line="400" w:lineRule="exact"/>
      <w:jc w:val="center"/>
    </w:pPr>
    <w:rPr>
      <w:rFonts w:ascii="Verdana" w:hAnsi="Verdana"/>
      <w:kern w:val="0"/>
      <w:szCs w:val="20"/>
      <w:lang w:eastAsia="en-US"/>
    </w:rPr>
  </w:style>
  <w:style w:type="paragraph" w:customStyle="1" w:styleId="101">
    <w:name w:val="样式1"/>
    <w:basedOn w:val="1"/>
    <w:qFormat/>
    <w:uiPriority w:val="0"/>
    <w:pPr>
      <w:numPr>
        <w:ilvl w:val="0"/>
        <w:numId w:val="1"/>
      </w:numPr>
      <w:tabs>
        <w:tab w:val="left" w:pos="709"/>
        <w:tab w:val="clear" w:pos="425"/>
      </w:tabs>
      <w:adjustRightInd w:val="0"/>
      <w:textAlignment w:val="baseline"/>
    </w:pPr>
    <w:rPr>
      <w:rFonts w:ascii="宋体" w:hAnsi="宋体"/>
      <w:kern w:val="0"/>
      <w:szCs w:val="20"/>
    </w:rPr>
  </w:style>
  <w:style w:type="paragraph" w:customStyle="1" w:styleId="102">
    <w:name w:val="样式 标题 4 + 段前: 5 磅 段后: 5 磅 行距: 单倍行距"/>
    <w:basedOn w:val="5"/>
    <w:qFormat/>
    <w:uiPriority w:val="0"/>
    <w:pPr>
      <w:widowControl w:val="0"/>
      <w:numPr>
        <w:ilvl w:val="3"/>
        <w:numId w:val="2"/>
      </w:numPr>
      <w:adjustRightInd w:val="0"/>
      <w:spacing w:before="100" w:after="100" w:line="240" w:lineRule="auto"/>
      <w:textAlignment w:val="baseline"/>
    </w:pPr>
    <w:rPr>
      <w:bCs w:val="0"/>
      <w:szCs w:val="20"/>
    </w:rPr>
  </w:style>
  <w:style w:type="paragraph" w:customStyle="1" w:styleId="10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0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0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06">
    <w:name w:val="表格文字"/>
    <w:basedOn w:val="1"/>
    <w:next w:val="13"/>
    <w:qFormat/>
    <w:uiPriority w:val="0"/>
    <w:pPr>
      <w:jc w:val="left"/>
    </w:pPr>
    <w:rPr>
      <w:bCs/>
      <w:spacing w:val="10"/>
      <w:kern w:val="0"/>
      <w:sz w:val="24"/>
      <w:szCs w:val="20"/>
    </w:rPr>
  </w:style>
  <w:style w:type="paragraph" w:customStyle="1" w:styleId="10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108">
    <w:name w:val="表格"/>
    <w:basedOn w:val="1"/>
    <w:qFormat/>
    <w:uiPriority w:val="0"/>
    <w:pPr>
      <w:spacing w:line="420" w:lineRule="exact"/>
      <w:ind w:left="84" w:leftChars="40"/>
      <w:jc w:val="center"/>
    </w:pPr>
    <w:rPr>
      <w:rFonts w:ascii="宋体" w:hAnsi="宋体"/>
      <w:bCs/>
      <w:spacing w:val="-12"/>
    </w:rPr>
  </w:style>
  <w:style w:type="paragraph" w:customStyle="1" w:styleId="109">
    <w:name w:val="样式4"/>
    <w:basedOn w:val="1"/>
    <w:qFormat/>
    <w:uiPriority w:val="0"/>
    <w:pPr>
      <w:numPr>
        <w:ilvl w:val="3"/>
        <w:numId w:val="1"/>
      </w:numPr>
      <w:tabs>
        <w:tab w:val="left" w:pos="1984"/>
        <w:tab w:val="clear" w:pos="2328"/>
      </w:tabs>
      <w:ind w:left="1984"/>
    </w:pPr>
  </w:style>
  <w:style w:type="paragraph" w:customStyle="1" w:styleId="110">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_Style 2"/>
    <w:basedOn w:val="1"/>
    <w:qFormat/>
    <w:uiPriority w:val="99"/>
    <w:pPr>
      <w:ind w:firstLine="420" w:firstLineChars="200"/>
    </w:pPr>
    <w:rPr>
      <w:rFonts w:ascii="Calibri" w:hAnsi="Calibri"/>
    </w:rPr>
  </w:style>
  <w:style w:type="paragraph" w:customStyle="1" w:styleId="112">
    <w:name w:val="样式"/>
    <w:basedOn w:val="1"/>
    <w:next w:val="18"/>
    <w:qFormat/>
    <w:uiPriority w:val="0"/>
    <w:pPr>
      <w:jc w:val="center"/>
    </w:pPr>
    <w:rPr>
      <w:rFonts w:ascii="宋体" w:hAnsi="宋体"/>
      <w:color w:val="FF0000"/>
      <w:sz w:val="24"/>
    </w:rPr>
  </w:style>
  <w:style w:type="paragraph" w:customStyle="1" w:styleId="113">
    <w:name w:val="Char Char Char Char Char Char Char"/>
    <w:basedOn w:val="1"/>
    <w:qFormat/>
    <w:uiPriority w:val="0"/>
    <w:rPr>
      <w:rFonts w:ascii="Tahoma" w:hAnsi="Tahoma" w:cs="Tahoma"/>
      <w:sz w:val="30"/>
      <w:szCs w:val="30"/>
    </w:rPr>
  </w:style>
  <w:style w:type="paragraph" w:customStyle="1" w:styleId="114">
    <w:name w:val="设计方案"/>
    <w:basedOn w:val="1"/>
    <w:qFormat/>
    <w:uiPriority w:val="0"/>
    <w:pPr>
      <w:widowControl/>
      <w:numPr>
        <w:ilvl w:val="0"/>
        <w:numId w:val="3"/>
      </w:numPr>
      <w:spacing w:after="160" w:line="240" w:lineRule="exact"/>
      <w:jc w:val="left"/>
    </w:pPr>
    <w:rPr>
      <w:rFonts w:ascii="Verdana" w:hAnsi="Verdana"/>
      <w:kern w:val="0"/>
      <w:szCs w:val="20"/>
      <w:lang w:eastAsia="en-US"/>
    </w:rPr>
  </w:style>
  <w:style w:type="paragraph" w:customStyle="1" w:styleId="115">
    <w:name w:val="Char1"/>
    <w:basedOn w:val="1"/>
    <w:qFormat/>
    <w:uiPriority w:val="0"/>
    <w:pPr>
      <w:widowControl/>
      <w:spacing w:after="160" w:line="240" w:lineRule="exact"/>
      <w:jc w:val="left"/>
    </w:pPr>
    <w:rPr>
      <w:sz w:val="24"/>
    </w:rPr>
  </w:style>
  <w:style w:type="paragraph" w:customStyle="1" w:styleId="116">
    <w:name w:val="页脚 New"/>
    <w:basedOn w:val="1"/>
    <w:qFormat/>
    <w:uiPriority w:val="0"/>
    <w:pPr>
      <w:pBdr>
        <w:top w:val="single" w:color="auto" w:sz="4" w:space="1"/>
      </w:pBdr>
      <w:tabs>
        <w:tab w:val="center" w:pos="4153"/>
        <w:tab w:val="right" w:pos="8306"/>
      </w:tabs>
      <w:snapToGrid w:val="0"/>
      <w:jc w:val="left"/>
    </w:pPr>
    <w:rPr>
      <w:sz w:val="18"/>
      <w:szCs w:val="18"/>
    </w:rPr>
  </w:style>
  <w:style w:type="paragraph" w:styleId="117">
    <w:name w:val="List Paragraph"/>
    <w:basedOn w:val="1"/>
    <w:qFormat/>
    <w:uiPriority w:val="99"/>
    <w:pPr>
      <w:ind w:firstLine="420" w:firstLineChars="200"/>
    </w:pPr>
  </w:style>
  <w:style w:type="paragraph" w:customStyle="1" w:styleId="118">
    <w:name w:val="WPSOffice手动目录 1"/>
    <w:qFormat/>
    <w:uiPriority w:val="0"/>
    <w:rPr>
      <w:rFonts w:ascii="Times New Roman" w:hAnsi="Times New Roman" w:eastAsia="宋体" w:cs="Times New Roman"/>
      <w:lang w:val="en-US" w:eastAsia="zh-CN" w:bidi="ar-SA"/>
    </w:rPr>
  </w:style>
  <w:style w:type="paragraph" w:customStyle="1" w:styleId="11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0">
    <w:name w:val="Char Char Char Char1"/>
    <w:basedOn w:val="1"/>
    <w:qFormat/>
    <w:uiPriority w:val="0"/>
    <w:pPr>
      <w:widowControl/>
      <w:snapToGrid w:val="0"/>
      <w:spacing w:after="160" w:line="360" w:lineRule="auto"/>
      <w:jc w:val="left"/>
    </w:pPr>
    <w:rPr>
      <w:bCs/>
      <w:szCs w:val="30"/>
    </w:rPr>
  </w:style>
  <w:style w:type="paragraph" w:customStyle="1" w:styleId="121">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2">
    <w:name w:val="列表段落1"/>
    <w:basedOn w:val="1"/>
    <w:qFormat/>
    <w:uiPriority w:val="34"/>
    <w:pPr>
      <w:ind w:firstLine="420" w:firstLineChars="200"/>
    </w:pPr>
  </w:style>
  <w:style w:type="paragraph" w:customStyle="1" w:styleId="123">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2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 w:type="paragraph" w:customStyle="1" w:styleId="12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6">
    <w:name w:val="Char1 Char Char Char"/>
    <w:basedOn w:val="1"/>
    <w:qFormat/>
    <w:uiPriority w:val="0"/>
    <w:rPr>
      <w:szCs w:val="20"/>
    </w:rPr>
  </w:style>
  <w:style w:type="paragraph" w:customStyle="1" w:styleId="127">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28">
    <w:name w:val="正文_0"/>
    <w:qFormat/>
    <w:uiPriority w:val="0"/>
    <w:rPr>
      <w:rFonts w:ascii="宋体" w:hAnsi="宋体" w:eastAsia="宋体" w:cs="宋体"/>
      <w:kern w:val="0"/>
      <w:sz w:val="24"/>
      <w:szCs w:val="24"/>
      <w:lang w:val="en-US" w:eastAsia="zh-CN" w:bidi="ar-SA"/>
    </w:rPr>
  </w:style>
  <w:style w:type="paragraph" w:customStyle="1" w:styleId="129">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130">
    <w:name w:val="p0"/>
    <w:basedOn w:val="1"/>
    <w:qFormat/>
    <w:uiPriority w:val="0"/>
    <w:pPr>
      <w:widowControl/>
    </w:pPr>
    <w:rPr>
      <w:kern w:val="0"/>
      <w:szCs w:val="21"/>
    </w:rPr>
  </w:style>
  <w:style w:type="paragraph" w:customStyle="1" w:styleId="131">
    <w:name w:val="样式 标题 2 + 宋体 五号 非加粗 黑色"/>
    <w:basedOn w:val="3"/>
    <w:qFormat/>
    <w:uiPriority w:val="0"/>
    <w:pPr>
      <w:numPr>
        <w:ilvl w:val="1"/>
        <w:numId w:val="2"/>
      </w:numPr>
      <w:adjustRightInd w:val="0"/>
      <w:spacing w:line="416" w:lineRule="atLeast"/>
      <w:jc w:val="left"/>
      <w:textAlignment w:val="baseline"/>
    </w:pPr>
    <w:rPr>
      <w:rFonts w:ascii="宋体" w:hAnsi="宋体" w:eastAsia="宋体"/>
      <w:b w:val="0"/>
      <w:bCs w:val="0"/>
      <w:color w:val="000000"/>
      <w:kern w:val="0"/>
      <w:sz w:val="21"/>
      <w:szCs w:val="20"/>
    </w:rPr>
  </w:style>
  <w:style w:type="paragraph" w:customStyle="1" w:styleId="132">
    <w:name w:val="页眉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33">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34">
    <w:name w:val="页眉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35">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136">
    <w:name w:val="Table Text"/>
    <w:basedOn w:val="1"/>
    <w:semiHidden/>
    <w:qFormat/>
    <w:uiPriority w:val="0"/>
    <w:rPr>
      <w:rFonts w:ascii="宋体" w:hAnsi="宋体" w:eastAsia="宋体" w:cs="宋体"/>
      <w:sz w:val="20"/>
      <w:szCs w:val="20"/>
      <w:lang w:val="en-US" w:eastAsia="en-US" w:bidi="ar-SA"/>
    </w:rPr>
  </w:style>
  <w:style w:type="paragraph" w:customStyle="1" w:styleId="137">
    <w:name w:val="默认段落字体 Para Char"/>
    <w:basedOn w:val="1"/>
    <w:qFormat/>
    <w:uiPriority w:val="0"/>
  </w:style>
  <w:style w:type="paragraph" w:customStyle="1" w:styleId="138">
    <w:name w:val="_Style 4"/>
    <w:basedOn w:val="1"/>
    <w:qFormat/>
    <w:uiPriority w:val="34"/>
    <w:pPr>
      <w:ind w:firstLine="420" w:firstLineChars="200"/>
    </w:pPr>
    <w:rPr>
      <w:rFonts w:ascii="Calibri" w:hAnsi="Calibri"/>
    </w:rPr>
  </w:style>
  <w:style w:type="paragraph" w:customStyle="1" w:styleId="139">
    <w:name w:val="Table Paragraph"/>
    <w:basedOn w:val="1"/>
    <w:qFormat/>
    <w:uiPriority w:val="0"/>
    <w:pPr>
      <w:jc w:val="left"/>
    </w:pPr>
    <w:rPr>
      <w:rFonts w:ascii="Calibri" w:hAnsi="Calibri" w:eastAsia="Calibri" w:cs="黑体"/>
      <w:kern w:val="0"/>
      <w:sz w:val="22"/>
      <w:szCs w:val="22"/>
      <w:lang w:eastAsia="en-US"/>
    </w:rPr>
  </w:style>
  <w:style w:type="paragraph" w:customStyle="1" w:styleId="140">
    <w:name w:val="页眉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41">
    <w:name w:val="页脚 New New"/>
    <w:basedOn w:val="1"/>
    <w:qFormat/>
    <w:uiPriority w:val="0"/>
    <w:pPr>
      <w:tabs>
        <w:tab w:val="center" w:pos="4153"/>
        <w:tab w:val="right" w:pos="8306"/>
      </w:tabs>
      <w:snapToGrid w:val="0"/>
      <w:jc w:val="left"/>
    </w:pPr>
    <w:rPr>
      <w:sz w:val="18"/>
    </w:rPr>
  </w:style>
  <w:style w:type="paragraph" w:customStyle="1" w:styleId="142">
    <w:name w:val="纯文本1"/>
    <w:basedOn w:val="1"/>
    <w:qFormat/>
    <w:uiPriority w:val="0"/>
    <w:rPr>
      <w:rFonts w:ascii="宋体" w:hAnsi="Courier New" w:cs="Courier New"/>
      <w:szCs w:val="21"/>
    </w:rPr>
  </w:style>
  <w:style w:type="paragraph" w:customStyle="1" w:styleId="143">
    <w:name w:val="样式 标题 3h3H3sect1.2.3 + 五号 段前: 6 磅 段后: 6 磅 行距: 单倍行距"/>
    <w:basedOn w:val="4"/>
    <w:qFormat/>
    <w:uiPriority w:val="0"/>
    <w:pPr>
      <w:keepLines/>
      <w:numPr>
        <w:ilvl w:val="2"/>
        <w:numId w:val="2"/>
      </w:numPr>
      <w:adjustRightInd w:val="0"/>
      <w:spacing w:before="120" w:after="120"/>
      <w:jc w:val="left"/>
      <w:textAlignment w:val="baseline"/>
    </w:pPr>
    <w:rPr>
      <w:rFonts w:ascii="Times New Roman" w:hAnsi="Times New Roman" w:eastAsia="宋体"/>
      <w:bCs w:val="0"/>
      <w:kern w:val="0"/>
      <w:sz w:val="21"/>
      <w:szCs w:val="20"/>
    </w:rPr>
  </w:style>
  <w:style w:type="table" w:customStyle="1" w:styleId="144">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14395</Words>
  <Characters>14951</Characters>
  <Lines>296</Lines>
  <Paragraphs>83</Paragraphs>
  <TotalTime>152</TotalTime>
  <ScaleCrop>false</ScaleCrop>
  <LinksUpToDate>false</LinksUpToDate>
  <CharactersWithSpaces>15329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2022-08-29T06:40:00Z</dcterms:created>
  <dc:creator>Administrator</dc:creator>
  <cp:lastModifiedBy>君</cp:lastModifiedBy>
  <cp:lastPrinted>2026-04-15T01:14:00Z</cp:lastPrinted>
  <dcterms:modified xsi:type="dcterms:W3CDTF">2026-08-13T03:10:58Z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56BB51217F3D4F3ABCEDFD36A092C69D_13</vt:lpwstr>
  </property>
  <property fmtid="{D5CDD505-2E9C-101B-9397-08002B2CF9AE}" pid="4" name="KSOTemplateDocerSaveRecord">
    <vt:lpwstr>eyJoZGlkIjoiZGY3YjQ0NDY5MGM1ODBlYzYwOWQ4MzFjYmMxM2Q5YTIiLCJ1c2VySWQiOiIzOTI1MzQxNDYifQ==</vt:lpwstr>
  </property>
</Properties>
</file>